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9F" w:rsidRPr="00733F9F" w:rsidRDefault="00B80FDD" w:rsidP="00733F9F">
      <w:pPr>
        <w:jc w:val="center"/>
        <w:rPr>
          <w:rFonts w:ascii="Times New Roman" w:hAnsi="Times New Roman" w:cs="Times New Roman"/>
          <w:lang w:val="uk-UA"/>
        </w:rPr>
      </w:pPr>
      <w:r w:rsidRPr="00B80FDD">
        <w:rPr>
          <w:rFonts w:ascii="Times New Roman" w:eastAsia="Calibri" w:hAnsi="Times New Roman" w:cs="Times New Roman"/>
          <w:noProof/>
          <w:lang w:eastAsia="ru-RU"/>
        </w:rPr>
        <w:drawing>
          <wp:inline distT="0" distB="0" distL="0" distR="0" wp14:anchorId="3C1310F6" wp14:editId="427E901F">
            <wp:extent cx="2087593" cy="903422"/>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63" cy="903539"/>
                    </a:xfrm>
                    <a:prstGeom prst="rect">
                      <a:avLst/>
                    </a:prstGeom>
                    <a:noFill/>
                    <a:ln>
                      <a:noFill/>
                    </a:ln>
                  </pic:spPr>
                </pic:pic>
              </a:graphicData>
            </a:graphic>
          </wp:inline>
        </w:drawing>
      </w:r>
    </w:p>
    <w:p w:rsidR="00733F9F" w:rsidRPr="00733F9F" w:rsidRDefault="002A7629" w:rsidP="00733F9F">
      <w:pPr>
        <w:rPr>
          <w:rFonts w:ascii="Times New Roman" w:eastAsia="Verdana" w:hAnsi="Times New Roman" w:cs="Times New Roman"/>
        </w:rPr>
      </w:pPr>
      <w:r>
        <w:rPr>
          <w:rFonts w:ascii="Times New Roman" w:hAnsi="Times New Roman" w:cs="Times New Roman"/>
        </w:rPr>
        <w:pict>
          <v:rect id="_x0000_i1025" style="width:0;height:1.5pt" o:hralign="center" o:hrstd="t" o:hr="t" fillcolor="#a0a0a0" stroked="f"/>
        </w:pict>
      </w:r>
    </w:p>
    <w:p w:rsidR="00880F92" w:rsidRPr="00733F9F" w:rsidRDefault="00A3361A" w:rsidP="006464BC">
      <w:pPr>
        <w:pStyle w:val="20"/>
        <w:shd w:val="clear" w:color="auto" w:fill="auto"/>
        <w:spacing w:before="120" w:after="120" w:line="240" w:lineRule="auto"/>
        <w:ind w:left="6237" w:firstLine="0"/>
        <w:contextualSpacing/>
        <w:rPr>
          <w:lang w:val="uk-UA"/>
        </w:rPr>
      </w:pPr>
      <w:r w:rsidRPr="00733F9F">
        <w:rPr>
          <w:lang w:val="uk-UA"/>
        </w:rPr>
        <w:t>Додаток 1</w:t>
      </w:r>
    </w:p>
    <w:p w:rsidR="00880F92" w:rsidRPr="00733F9F" w:rsidRDefault="00880F92" w:rsidP="006464BC">
      <w:pPr>
        <w:pStyle w:val="20"/>
        <w:shd w:val="clear" w:color="auto" w:fill="auto"/>
        <w:spacing w:before="120" w:after="120" w:line="240" w:lineRule="auto"/>
        <w:ind w:left="6237" w:firstLine="0"/>
        <w:contextualSpacing/>
        <w:rPr>
          <w:lang w:val="uk-UA"/>
        </w:rPr>
      </w:pPr>
      <w:r w:rsidRPr="00733F9F">
        <w:rPr>
          <w:lang w:val="uk-UA"/>
        </w:rPr>
        <w:t xml:space="preserve">до Договору про </w:t>
      </w:r>
      <w:r w:rsidR="006464BC" w:rsidRPr="00733F9F">
        <w:rPr>
          <w:lang w:val="uk-UA"/>
        </w:rPr>
        <w:t>постачання електричної енергії Споживач</w:t>
      </w:r>
      <w:r w:rsidRPr="00733F9F">
        <w:rPr>
          <w:lang w:val="uk-UA"/>
        </w:rPr>
        <w:t>у</w:t>
      </w:r>
    </w:p>
    <w:p w:rsidR="00880F92" w:rsidRPr="00733F9F" w:rsidRDefault="00880F92" w:rsidP="006464BC">
      <w:pPr>
        <w:pStyle w:val="20"/>
        <w:shd w:val="clear" w:color="auto" w:fill="auto"/>
        <w:spacing w:before="120" w:after="120" w:line="240" w:lineRule="auto"/>
        <w:ind w:left="6237" w:firstLine="0"/>
        <w:rPr>
          <w:lang w:val="uk-UA"/>
        </w:rPr>
      </w:pPr>
    </w:p>
    <w:p w:rsidR="00880F92" w:rsidRPr="00733F9F" w:rsidRDefault="00880F92" w:rsidP="006464BC">
      <w:pPr>
        <w:pStyle w:val="20"/>
        <w:shd w:val="clear" w:color="auto" w:fill="auto"/>
        <w:spacing w:before="120" w:after="120" w:line="240" w:lineRule="auto"/>
        <w:ind w:left="6237" w:firstLine="0"/>
        <w:contextualSpacing/>
        <w:rPr>
          <w:b/>
          <w:lang w:val="uk-UA"/>
        </w:rPr>
      </w:pPr>
    </w:p>
    <w:p w:rsidR="0071503F" w:rsidRPr="00673DC3" w:rsidRDefault="0071503F" w:rsidP="006464BC">
      <w:pPr>
        <w:pStyle w:val="20"/>
        <w:shd w:val="clear" w:color="auto" w:fill="auto"/>
        <w:spacing w:before="120" w:after="120" w:line="240" w:lineRule="auto"/>
        <w:ind w:left="20" w:hanging="20"/>
        <w:contextualSpacing/>
        <w:jc w:val="center"/>
        <w:rPr>
          <w:b/>
        </w:rPr>
      </w:pPr>
      <w:r w:rsidRPr="00733F9F">
        <w:rPr>
          <w:b/>
          <w:lang w:val="uk-UA"/>
        </w:rPr>
        <w:t>Комерційна пропозиція</w:t>
      </w:r>
      <w:r w:rsidRPr="00247E14">
        <w:rPr>
          <w:lang w:val="uk-UA"/>
        </w:rPr>
        <w:t xml:space="preserve"> </w:t>
      </w:r>
      <w:r w:rsidR="00E32B2E" w:rsidRPr="00247E14">
        <w:rPr>
          <w:rStyle w:val="21"/>
          <w:sz w:val="22"/>
          <w:szCs w:val="22"/>
        </w:rPr>
        <w:t>№</w:t>
      </w:r>
      <w:r w:rsidR="006464BC" w:rsidRPr="00247E14">
        <w:rPr>
          <w:rStyle w:val="21"/>
          <w:sz w:val="22"/>
          <w:szCs w:val="22"/>
        </w:rPr>
        <w:t xml:space="preserve"> </w:t>
      </w:r>
      <w:r w:rsidR="00673DC3" w:rsidRPr="00673DC3">
        <w:rPr>
          <w:rStyle w:val="21"/>
          <w:sz w:val="22"/>
          <w:szCs w:val="22"/>
          <w:lang w:val="ru-RU"/>
        </w:rPr>
        <w:t>4</w:t>
      </w:r>
    </w:p>
    <w:p w:rsidR="00E00154" w:rsidRPr="00733F9F" w:rsidRDefault="0071503F" w:rsidP="006464BC">
      <w:pPr>
        <w:pStyle w:val="20"/>
        <w:shd w:val="clear" w:color="auto" w:fill="auto"/>
        <w:spacing w:before="120" w:after="120" w:line="240" w:lineRule="auto"/>
        <w:ind w:left="20" w:hanging="20"/>
        <w:contextualSpacing/>
        <w:jc w:val="center"/>
        <w:rPr>
          <w:b/>
          <w:lang w:val="uk-UA"/>
        </w:rPr>
      </w:pPr>
      <w:r w:rsidRPr="00733F9F">
        <w:rPr>
          <w:b/>
          <w:lang w:val="uk-UA"/>
        </w:rPr>
        <w:t xml:space="preserve">постачальника електричної енергії </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0" w:name="bookmark0"/>
      <w:r w:rsidRPr="00733F9F">
        <w:rPr>
          <w:lang w:val="uk-UA"/>
        </w:rPr>
        <w:t>Критерії, яким має відповідати особа, що обирає дану Комерційну пропозицію:</w:t>
      </w:r>
      <w:bookmarkEnd w:id="0"/>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є власником (користувачем) об’єкта, а за його відсутності, земельної ділянки;</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71503F" w:rsidRPr="00733F9F" w:rsidRDefault="006464BC"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Споживач</w:t>
      </w:r>
      <w:r w:rsidR="0071503F" w:rsidRPr="00733F9F">
        <w:rPr>
          <w:lang w:val="uk-UA"/>
        </w:rPr>
        <w:t xml:space="preserve"> приєднався до умов договору (уклав договір) </w:t>
      </w:r>
      <w:r w:rsidRPr="00733F9F">
        <w:rPr>
          <w:lang w:val="uk-UA"/>
        </w:rPr>
        <w:t>Споживач</w:t>
      </w:r>
      <w:r w:rsidR="0071503F" w:rsidRPr="00733F9F">
        <w:rPr>
          <w:lang w:val="uk-UA"/>
        </w:rPr>
        <w:t>а про надання послуг з розподілу (передачі) електричної енергії з оператором(ами) системи;</w:t>
      </w:r>
    </w:p>
    <w:p w:rsidR="009C3A16" w:rsidRPr="00733F9F" w:rsidRDefault="00A3361A"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 xml:space="preserve">у </w:t>
      </w:r>
      <w:r w:rsidR="006464BC" w:rsidRPr="00733F9F">
        <w:rPr>
          <w:lang w:val="uk-UA"/>
        </w:rPr>
        <w:t>Споживач</w:t>
      </w:r>
      <w:r w:rsidRPr="00733F9F">
        <w:rPr>
          <w:lang w:val="uk-UA"/>
        </w:rPr>
        <w:t xml:space="preserve">а </w:t>
      </w:r>
      <w:r w:rsidR="0071503F" w:rsidRPr="00733F9F">
        <w:rPr>
          <w:lang w:val="uk-UA"/>
        </w:rPr>
        <w:t>за</w:t>
      </w:r>
      <w:r w:rsidRPr="00733F9F">
        <w:rPr>
          <w:lang w:val="uk-UA"/>
        </w:rPr>
        <w:t xml:space="preserve"> його</w:t>
      </w:r>
      <w:r w:rsidR="0071503F" w:rsidRPr="00733F9F">
        <w:rPr>
          <w:lang w:val="uk-UA"/>
        </w:rPr>
        <w:t xml:space="preserve"> об’єктом(ами) н</w:t>
      </w:r>
      <w:r w:rsidRPr="00733F9F">
        <w:rPr>
          <w:lang w:val="uk-UA"/>
        </w:rPr>
        <w:t>емає заборгованості перед п</w:t>
      </w:r>
      <w:r w:rsidR="0071503F" w:rsidRPr="00733F9F">
        <w:rPr>
          <w:lang w:val="uk-UA"/>
        </w:rPr>
        <w:t>остачальником за догов</w:t>
      </w:r>
      <w:r w:rsidR="009C3A16" w:rsidRPr="00733F9F">
        <w:rPr>
          <w:lang w:val="uk-UA"/>
        </w:rPr>
        <w:t>орами, які були укладені раніше;</w:t>
      </w:r>
    </w:p>
    <w:p w:rsidR="009C3A16" w:rsidRPr="00733F9F" w:rsidRDefault="009C3A16" w:rsidP="006464BC">
      <w:pPr>
        <w:pStyle w:val="20"/>
        <w:numPr>
          <w:ilvl w:val="0"/>
          <w:numId w:val="12"/>
        </w:numPr>
        <w:shd w:val="clear" w:color="auto" w:fill="auto"/>
        <w:spacing w:before="120" w:after="120" w:line="240" w:lineRule="auto"/>
        <w:ind w:left="993" w:hanging="426"/>
        <w:jc w:val="both"/>
        <w:rPr>
          <w:lang w:val="uk-UA"/>
        </w:rPr>
      </w:pPr>
      <w:r w:rsidRPr="00733F9F">
        <w:rPr>
          <w:lang w:val="uk-UA"/>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p w:rsidR="0071503F" w:rsidRPr="00733F9F" w:rsidRDefault="0071503F" w:rsidP="006464BC">
      <w:pPr>
        <w:pStyle w:val="10"/>
        <w:numPr>
          <w:ilvl w:val="0"/>
          <w:numId w:val="1"/>
        </w:numPr>
        <w:shd w:val="clear" w:color="auto" w:fill="auto"/>
        <w:tabs>
          <w:tab w:val="left" w:pos="567"/>
        </w:tabs>
        <w:spacing w:before="120" w:after="120" w:line="240" w:lineRule="auto"/>
        <w:ind w:left="426" w:hanging="426"/>
        <w:rPr>
          <w:lang w:val="uk-UA"/>
        </w:rPr>
      </w:pPr>
      <w:bookmarkStart w:id="1" w:name="bookmark1"/>
      <w:r w:rsidRPr="00733F9F">
        <w:rPr>
          <w:lang w:val="uk-UA"/>
        </w:rPr>
        <w:t>Ціна на електричну енергію (грн за 1 кВт*год, без ПДВ) для розрахункового періоду.</w:t>
      </w:r>
      <w:bookmarkEnd w:id="1"/>
    </w:p>
    <w:p w:rsidR="0071503F" w:rsidRPr="00733F9F" w:rsidRDefault="00123DF8" w:rsidP="006464BC">
      <w:pPr>
        <w:pStyle w:val="a3"/>
        <w:spacing w:before="120" w:after="120" w:line="240" w:lineRule="auto"/>
        <w:ind w:left="993" w:hanging="567"/>
        <w:jc w:val="both"/>
        <w:rPr>
          <w:rFonts w:ascii="Times New Roman" w:hAnsi="Times New Roman" w:cs="Times New Roman"/>
          <w:lang w:val="uk-UA"/>
        </w:rPr>
      </w:pPr>
      <w:r w:rsidRPr="00733F9F">
        <w:rPr>
          <w:rFonts w:ascii="Times New Roman" w:hAnsi="Times New Roman" w:cs="Times New Roman"/>
          <w:lang w:val="uk-UA"/>
        </w:rPr>
        <w:t xml:space="preserve">2.1. </w:t>
      </w:r>
      <w:r w:rsidR="0071503F" w:rsidRPr="00733F9F">
        <w:rPr>
          <w:rFonts w:ascii="Times New Roman" w:hAnsi="Times New Roman" w:cs="Times New Roman"/>
          <w:lang w:val="uk-UA"/>
        </w:rPr>
        <w:t xml:space="preserve">Ціна на електричну енергію (без ПДВ), що постачається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у (Ц</w:t>
      </w:r>
      <w:r w:rsidR="0071503F" w:rsidRPr="00733F9F">
        <w:rPr>
          <w:rFonts w:ascii="Times New Roman" w:hAnsi="Times New Roman" w:cs="Times New Roman"/>
          <w:vertAlign w:val="subscript"/>
          <w:lang w:val="uk-UA"/>
        </w:rPr>
        <w:t>заг</w:t>
      </w:r>
      <w:r w:rsidR="0071503F" w:rsidRPr="00733F9F">
        <w:rPr>
          <w:rFonts w:ascii="Times New Roman" w:hAnsi="Times New Roman" w:cs="Times New Roman"/>
          <w:lang w:val="uk-UA"/>
        </w:rPr>
        <w:t>)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71503F" w:rsidRPr="00733F9F" w:rsidRDefault="0071503F" w:rsidP="006464BC">
      <w:pPr>
        <w:spacing w:before="120" w:after="120" w:line="240" w:lineRule="auto"/>
        <w:ind w:left="20" w:hanging="20"/>
        <w:jc w:val="center"/>
        <w:rPr>
          <w:rFonts w:ascii="Times New Roman" w:hAnsi="Times New Roman" w:cs="Times New Roman"/>
          <w:lang w:val="uk-UA"/>
        </w:rPr>
      </w:pP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заг</w:t>
      </w:r>
      <w:proofErr w:type="spellEnd"/>
      <w:r w:rsidRPr="00733F9F">
        <w:rPr>
          <w:rFonts w:ascii="Times New Roman" w:hAnsi="Times New Roman" w:cs="Times New Roman"/>
          <w:b/>
          <w:lang w:val="uk-UA"/>
        </w:rPr>
        <w:t xml:space="preserve">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рдн</w:t>
      </w:r>
      <w:proofErr w:type="spellEnd"/>
      <w:r w:rsidRPr="00733F9F">
        <w:rPr>
          <w:rFonts w:ascii="Times New Roman" w:hAnsi="Times New Roman" w:cs="Times New Roman"/>
          <w:b/>
          <w:lang w:val="uk-UA"/>
        </w:rPr>
        <w:t xml:space="preserve"> + Т + </w:t>
      </w:r>
      <w:proofErr w:type="spellStart"/>
      <w:r w:rsidRPr="00733F9F">
        <w:rPr>
          <w:rFonts w:ascii="Times New Roman" w:hAnsi="Times New Roman" w:cs="Times New Roman"/>
          <w:b/>
          <w:lang w:val="uk-UA"/>
        </w:rPr>
        <w:t>Ц</w:t>
      </w:r>
      <w:r w:rsidRPr="00733F9F">
        <w:rPr>
          <w:rFonts w:ascii="Times New Roman" w:hAnsi="Times New Roman" w:cs="Times New Roman"/>
          <w:b/>
          <w:vertAlign w:val="subscript"/>
          <w:lang w:val="uk-UA"/>
        </w:rPr>
        <w:t>п</w:t>
      </w:r>
      <w:proofErr w:type="spellEnd"/>
      <w:r w:rsidR="006464BC" w:rsidRPr="00733F9F">
        <w:rPr>
          <w:rFonts w:ascii="Times New Roman" w:hAnsi="Times New Roman" w:cs="Times New Roman"/>
          <w:vertAlign w:val="subscript"/>
          <w:lang w:val="uk-UA"/>
        </w:rPr>
        <w:t xml:space="preserve">, </w:t>
      </w:r>
      <w:r w:rsidRPr="00733F9F">
        <w:rPr>
          <w:rFonts w:ascii="Times New Roman" w:hAnsi="Times New Roman" w:cs="Times New Roman"/>
          <w:lang w:val="uk-UA"/>
        </w:rPr>
        <w:t xml:space="preserve">де: </w:t>
      </w:r>
    </w:p>
    <w:p w:rsidR="006464BC" w:rsidRPr="00673DC3" w:rsidRDefault="0071503F" w:rsidP="006464BC">
      <w:pPr>
        <w:pStyle w:val="a3"/>
        <w:spacing w:before="120" w:after="120" w:line="240" w:lineRule="auto"/>
        <w:ind w:left="992" w:hanging="567"/>
        <w:contextualSpacing w:val="0"/>
        <w:jc w:val="both"/>
        <w:rPr>
          <w:rFonts w:ascii="Times New Roman" w:hAnsi="Times New Roman" w:cs="Times New Roman"/>
          <w:lang w:val="uk-UA"/>
        </w:rPr>
      </w:pPr>
      <w:proofErr w:type="spellStart"/>
      <w:r w:rsidRPr="00733F9F">
        <w:rPr>
          <w:rFonts w:ascii="Times New Roman" w:hAnsi="Times New Roman" w:cs="Times New Roman"/>
          <w:lang w:val="uk-UA"/>
        </w:rPr>
        <w:t>Ц</w:t>
      </w:r>
      <w:r w:rsidRPr="00733F9F">
        <w:rPr>
          <w:rFonts w:ascii="Times New Roman" w:hAnsi="Times New Roman" w:cs="Times New Roman"/>
          <w:vertAlign w:val="subscript"/>
          <w:lang w:val="uk-UA"/>
        </w:rPr>
        <w:t>рдн</w:t>
      </w:r>
      <w:proofErr w:type="spellEnd"/>
      <w:r w:rsidRPr="00733F9F">
        <w:rPr>
          <w:rFonts w:ascii="Times New Roman" w:hAnsi="Times New Roman" w:cs="Times New Roman"/>
          <w:lang w:val="uk-UA"/>
        </w:rPr>
        <w:t xml:space="preserve"> –</w:t>
      </w:r>
      <w:r w:rsidR="00673DC3">
        <w:rPr>
          <w:rFonts w:ascii="Times New Roman" w:hAnsi="Times New Roman" w:cs="Times New Roman"/>
          <w:lang w:val="uk-UA"/>
        </w:rPr>
        <w:t xml:space="preserve"> дорівнює 3,00 </w:t>
      </w:r>
      <w:proofErr w:type="spellStart"/>
      <w:r w:rsidR="00673DC3">
        <w:rPr>
          <w:rFonts w:ascii="Times New Roman" w:hAnsi="Times New Roman" w:cs="Times New Roman"/>
          <w:lang w:val="uk-UA"/>
        </w:rPr>
        <w:t>грн</w:t>
      </w:r>
      <w:proofErr w:type="spellEnd"/>
      <w:r w:rsidR="00673DC3">
        <w:rPr>
          <w:rFonts w:ascii="Times New Roman" w:hAnsi="Times New Roman" w:cs="Times New Roman"/>
          <w:lang w:val="uk-UA"/>
        </w:rPr>
        <w:t>/кВт*</w:t>
      </w:r>
      <w:proofErr w:type="spellStart"/>
      <w:r w:rsidR="00673DC3">
        <w:rPr>
          <w:rFonts w:ascii="Times New Roman" w:hAnsi="Times New Roman" w:cs="Times New Roman"/>
          <w:lang w:val="uk-UA"/>
        </w:rPr>
        <w:t>год</w:t>
      </w:r>
      <w:proofErr w:type="spellEnd"/>
      <w:r w:rsidR="00673DC3">
        <w:rPr>
          <w:rFonts w:ascii="Times New Roman" w:hAnsi="Times New Roman" w:cs="Times New Roman"/>
          <w:lang w:val="uk-UA"/>
        </w:rPr>
        <w:t xml:space="preserve"> (без </w:t>
      </w:r>
      <w:r w:rsidR="00C1769C" w:rsidRPr="00C1769C">
        <w:rPr>
          <w:rFonts w:ascii="Times New Roman" w:hAnsi="Times New Roman" w:cs="Times New Roman"/>
          <w:lang w:val="uk-UA"/>
        </w:rPr>
        <w:t>ПДВ</w:t>
      </w:r>
      <w:r w:rsidR="00673DC3">
        <w:rPr>
          <w:rFonts w:ascii="Times New Roman" w:hAnsi="Times New Roman" w:cs="Times New Roman"/>
          <w:lang w:val="uk-UA"/>
        </w:rPr>
        <w:t>);</w:t>
      </w:r>
    </w:p>
    <w:p w:rsidR="0071503F" w:rsidRPr="00733F9F" w:rsidRDefault="0071503F"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D2863" w:rsidRPr="00733F9F" w:rsidRDefault="0071503F" w:rsidP="00ED2863">
      <w:pPr>
        <w:pStyle w:val="a3"/>
        <w:spacing w:before="120" w:after="120" w:line="240" w:lineRule="auto"/>
        <w:ind w:left="992" w:hanging="567"/>
        <w:contextualSpacing w:val="0"/>
        <w:jc w:val="both"/>
        <w:rPr>
          <w:rFonts w:ascii="Times New Roman" w:hAnsi="Times New Roman" w:cs="Times New Roman"/>
          <w:lang w:val="uk-UA"/>
        </w:rPr>
      </w:pPr>
      <w:proofErr w:type="spellStart"/>
      <w:r w:rsidRPr="00733F9F">
        <w:rPr>
          <w:rFonts w:ascii="Times New Roman" w:hAnsi="Times New Roman" w:cs="Times New Roman"/>
          <w:lang w:val="uk-UA"/>
        </w:rPr>
        <w:t>Ц</w:t>
      </w:r>
      <w:r w:rsidRPr="00733F9F">
        <w:rPr>
          <w:rFonts w:ascii="Times New Roman" w:hAnsi="Times New Roman" w:cs="Times New Roman"/>
          <w:vertAlign w:val="subscript"/>
          <w:lang w:val="uk-UA"/>
        </w:rPr>
        <w:t>п</w:t>
      </w:r>
      <w:proofErr w:type="spellEnd"/>
      <w:r w:rsidRPr="00733F9F">
        <w:rPr>
          <w:rFonts w:ascii="Times New Roman" w:hAnsi="Times New Roman" w:cs="Times New Roman"/>
          <w:lang w:val="uk-UA"/>
        </w:rPr>
        <w:t xml:space="preserve"> – </w:t>
      </w:r>
      <w:r w:rsidR="00ED2863" w:rsidRPr="00733F9F">
        <w:rPr>
          <w:rFonts w:ascii="Times New Roman" w:hAnsi="Times New Roman" w:cs="Times New Roman"/>
          <w:lang w:val="uk-UA"/>
        </w:rPr>
        <w:t xml:space="preserve">ціна додаткових послуг, </w:t>
      </w:r>
      <w:r w:rsidR="00ED2863">
        <w:rPr>
          <w:rFonts w:ascii="Times New Roman" w:hAnsi="Times New Roman" w:cs="Times New Roman"/>
          <w:lang w:val="uk-UA"/>
        </w:rPr>
        <w:t xml:space="preserve">якщо споживання електричної енергії в місяць становить від           50 000 до 100 000 кВт </w:t>
      </w:r>
      <w:r w:rsidR="00ED2863" w:rsidRPr="00733F9F">
        <w:rPr>
          <w:rFonts w:ascii="Times New Roman" w:hAnsi="Times New Roman" w:cs="Times New Roman"/>
          <w:lang w:val="uk-UA"/>
        </w:rPr>
        <w:t xml:space="preserve"> і складає 0,</w:t>
      </w:r>
      <w:r w:rsidR="00C1769C">
        <w:rPr>
          <w:rFonts w:ascii="Times New Roman" w:hAnsi="Times New Roman" w:cs="Times New Roman"/>
          <w:lang w:val="uk-UA"/>
        </w:rPr>
        <w:t>0</w:t>
      </w:r>
      <w:r w:rsidR="00ED2863">
        <w:rPr>
          <w:rFonts w:ascii="Times New Roman" w:hAnsi="Times New Roman" w:cs="Times New Roman"/>
          <w:lang w:val="uk-UA"/>
        </w:rPr>
        <w:t>3</w:t>
      </w:r>
      <w:r w:rsidR="00ED2863" w:rsidRPr="00733F9F">
        <w:rPr>
          <w:rFonts w:ascii="Times New Roman" w:hAnsi="Times New Roman" w:cs="Times New Roman"/>
          <w:lang w:val="uk-UA"/>
        </w:rPr>
        <w:t xml:space="preserve"> </w:t>
      </w:r>
      <w:proofErr w:type="spellStart"/>
      <w:r w:rsidR="00D35FC4">
        <w:rPr>
          <w:rFonts w:ascii="Times New Roman" w:hAnsi="Times New Roman" w:cs="Times New Roman"/>
          <w:lang w:val="uk-UA"/>
        </w:rPr>
        <w:t>грн</w:t>
      </w:r>
      <w:proofErr w:type="spellEnd"/>
      <w:r w:rsidR="00ED2863" w:rsidRPr="00733F9F">
        <w:rPr>
          <w:rFonts w:ascii="Times New Roman" w:hAnsi="Times New Roman" w:cs="Times New Roman"/>
          <w:lang w:val="uk-UA"/>
        </w:rPr>
        <w:t>/кВт*год.</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2.2. </w:t>
      </w:r>
      <w:r w:rsidR="0071503F" w:rsidRPr="00733F9F">
        <w:rPr>
          <w:rFonts w:ascii="Times New Roman" w:hAnsi="Times New Roman" w:cs="Times New Roman"/>
          <w:lang w:val="uk-UA"/>
        </w:rPr>
        <w:t>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ринку «на добу наперед» за площадками групи «а» чи «б», відповідно, в поточному та минулому розрахункових періодах відбулось відхилення.</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2.3. </w:t>
      </w:r>
      <w:r w:rsidR="0071503F" w:rsidRPr="00733F9F">
        <w:rPr>
          <w:rFonts w:ascii="Times New Roman" w:hAnsi="Times New Roman" w:cs="Times New Roman"/>
          <w:lang w:val="uk-UA"/>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w:t>
      </w:r>
    </w:p>
    <w:p w:rsidR="0071503F" w:rsidRPr="00733F9F" w:rsidRDefault="00123DF8" w:rsidP="006464BC">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2.4. </w:t>
      </w:r>
      <w:r w:rsidR="0071503F" w:rsidRPr="00733F9F">
        <w:rPr>
          <w:rFonts w:ascii="Times New Roman" w:hAnsi="Times New Roman" w:cs="Times New Roman"/>
          <w:lang w:val="uk-UA"/>
        </w:rPr>
        <w:t>Коригування пов’язане зі зміною регульованих компонентів Ц</w:t>
      </w:r>
      <w:r w:rsidR="0071503F" w:rsidRPr="00733F9F">
        <w:rPr>
          <w:rFonts w:ascii="Times New Roman" w:hAnsi="Times New Roman" w:cs="Times New Roman"/>
          <w:vertAlign w:val="subscript"/>
          <w:lang w:val="uk-UA"/>
        </w:rPr>
        <w:t>рдн</w:t>
      </w:r>
      <w:r w:rsidR="0071503F" w:rsidRPr="00733F9F">
        <w:rPr>
          <w:rFonts w:ascii="Times New Roman" w:hAnsi="Times New Roman" w:cs="Times New Roman"/>
          <w:lang w:val="uk-UA"/>
        </w:rPr>
        <w:t xml:space="preserve"> та/або ціни регульованих послуг (Т та/або інших, в разі їх встановлення Регулятором), формування яких не залежить від Постачальника, не потребує завчасного повідомлення </w:t>
      </w:r>
      <w:r w:rsidR="006464BC" w:rsidRPr="00733F9F">
        <w:rPr>
          <w:rFonts w:ascii="Times New Roman" w:hAnsi="Times New Roman" w:cs="Times New Roman"/>
          <w:lang w:val="uk-UA"/>
        </w:rPr>
        <w:t>Споживач</w:t>
      </w:r>
      <w:r w:rsidR="0071503F" w:rsidRPr="00733F9F">
        <w:rPr>
          <w:rFonts w:ascii="Times New Roman" w:hAnsi="Times New Roman" w:cs="Times New Roman"/>
          <w:lang w:val="uk-UA"/>
        </w:rPr>
        <w:t xml:space="preserve">а. Коригування та зміна цін регульованих послуг здійснюється на різницю відхилення. </w:t>
      </w:r>
    </w:p>
    <w:p w:rsidR="0071503F" w:rsidRDefault="0071503F" w:rsidP="006464BC">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Про зміну ціни послуг (Ц</w:t>
      </w:r>
      <w:r w:rsidRPr="00733F9F">
        <w:rPr>
          <w:rFonts w:ascii="Times New Roman" w:hAnsi="Times New Roman" w:cs="Times New Roman"/>
          <w:vertAlign w:val="subscript"/>
          <w:lang w:val="uk-UA"/>
        </w:rPr>
        <w:t>п</w:t>
      </w:r>
      <w:r w:rsidRPr="00733F9F">
        <w:rPr>
          <w:rFonts w:ascii="Times New Roman" w:hAnsi="Times New Roman" w:cs="Times New Roman"/>
          <w:lang w:val="uk-UA"/>
        </w:rPr>
        <w:t xml:space="preserve">)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повідомляється завчасно до початку їх застосування. </w:t>
      </w:r>
    </w:p>
    <w:p w:rsidR="00673DC3" w:rsidRPr="00733F9F" w:rsidRDefault="00673DC3" w:rsidP="006464BC">
      <w:pPr>
        <w:pStyle w:val="a3"/>
        <w:spacing w:before="120" w:after="120" w:line="240" w:lineRule="auto"/>
        <w:ind w:left="992"/>
        <w:contextualSpacing w:val="0"/>
        <w:jc w:val="both"/>
        <w:rPr>
          <w:rFonts w:ascii="Times New Roman" w:hAnsi="Times New Roman" w:cs="Times New Roman"/>
          <w:lang w:val="uk-UA"/>
        </w:rPr>
      </w:pP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2" w:name="bookmark4"/>
      <w:r w:rsidRPr="00733F9F">
        <w:rPr>
          <w:lang w:val="uk-UA"/>
        </w:rPr>
        <w:lastRenderedPageBreak/>
        <w:t>Територія</w:t>
      </w:r>
      <w:bookmarkEnd w:id="2"/>
      <w:r w:rsidR="0082195A" w:rsidRPr="00733F9F">
        <w:rPr>
          <w:lang w:val="uk-UA"/>
        </w:rPr>
        <w:t xml:space="preserve"> здійснення ліцензованої діяльності.</w:t>
      </w:r>
    </w:p>
    <w:p w:rsidR="00123DF8" w:rsidRPr="00733F9F" w:rsidRDefault="00123DF8" w:rsidP="00C10B28">
      <w:pPr>
        <w:pStyle w:val="a3"/>
        <w:spacing w:before="120" w:after="120" w:line="240" w:lineRule="auto"/>
        <w:ind w:left="992" w:hanging="567"/>
        <w:contextualSpacing w:val="0"/>
        <w:jc w:val="both"/>
        <w:rPr>
          <w:rFonts w:ascii="Times New Roman" w:hAnsi="Times New Roman" w:cs="Times New Roman"/>
          <w:b/>
          <w:lang w:val="uk-UA"/>
        </w:rPr>
      </w:pPr>
      <w:r w:rsidRPr="00733F9F">
        <w:rPr>
          <w:rFonts w:ascii="Times New Roman" w:hAnsi="Times New Roman" w:cs="Times New Roman"/>
          <w:lang w:val="uk-UA"/>
        </w:rPr>
        <w:t xml:space="preserve">3.1. </w:t>
      </w:r>
      <w:r w:rsidR="00A3361A" w:rsidRPr="00733F9F">
        <w:rPr>
          <w:rFonts w:ascii="Times New Roman" w:hAnsi="Times New Roman" w:cs="Times New Roman"/>
          <w:lang w:val="uk-UA"/>
        </w:rPr>
        <w:t>По всій території України.</w:t>
      </w:r>
      <w:bookmarkStart w:id="3" w:name="bookmark6"/>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Спосіб оплати.</w:t>
      </w:r>
      <w:bookmarkEnd w:id="3"/>
    </w:p>
    <w:p w:rsidR="00BE4C37" w:rsidRPr="00733F9F" w:rsidRDefault="00C10B28"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4.1 </w:t>
      </w:r>
      <w:r w:rsidR="00BE4C37" w:rsidRPr="00733F9F">
        <w:rPr>
          <w:rFonts w:ascii="Times New Roman" w:hAnsi="Times New Roman" w:cs="Times New Roman"/>
          <w:lang w:val="uk-UA"/>
        </w:rPr>
        <w:t>Розрахунки за електричну</w:t>
      </w:r>
      <w:r w:rsidRPr="00733F9F">
        <w:rPr>
          <w:rFonts w:ascii="Times New Roman" w:hAnsi="Times New Roman" w:cs="Times New Roman"/>
          <w:lang w:val="uk-UA"/>
        </w:rPr>
        <w:t xml:space="preserve"> </w:t>
      </w:r>
      <w:r w:rsidR="00BE4C37" w:rsidRPr="00733F9F">
        <w:rPr>
          <w:rFonts w:ascii="Times New Roman" w:hAnsi="Times New Roman" w:cs="Times New Roman"/>
          <w:lang w:val="uk-UA"/>
        </w:rPr>
        <w:t xml:space="preserve">енергію здійснюються виключно в грошовій формі відповідно до умов договору, шляхом перерахування коштів на поточний рахунок </w:t>
      </w:r>
      <w:r w:rsidR="00BE4C37" w:rsidRPr="00733F9F">
        <w:rPr>
          <w:rStyle w:val="21"/>
          <w:rFonts w:eastAsiaTheme="minorHAnsi"/>
          <w:sz w:val="22"/>
          <w:szCs w:val="22"/>
        </w:rPr>
        <w:t xml:space="preserve">із спеціальним режимом використання </w:t>
      </w:r>
      <w:r w:rsidR="00BE4C37" w:rsidRPr="00733F9F">
        <w:rPr>
          <w:rFonts w:ascii="Times New Roman" w:hAnsi="Times New Roman" w:cs="Times New Roman"/>
          <w:lang w:val="uk-UA"/>
        </w:rPr>
        <w:t>Постачальника, вказаний у рахунку на оплату та на сайті Постачальника.</w:t>
      </w:r>
    </w:p>
    <w:p w:rsidR="00BE4C37" w:rsidRPr="00733F9F" w:rsidRDefault="00BE4C37"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4.2.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 не обмежується у праві здійснювати оплату за Договором через:</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банківську платіжну систему;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он-лайн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поштовий переказ; </w:t>
      </w:r>
    </w:p>
    <w:p w:rsidR="00BE4C37" w:rsidRPr="00733F9F" w:rsidRDefault="00BE4C37"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в інший не заборонений чинним законодавством спосіб.</w:t>
      </w:r>
    </w:p>
    <w:p w:rsidR="00BE4C37" w:rsidRPr="00733F9F" w:rsidRDefault="005D6316"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 xml:space="preserve">4.3. </w:t>
      </w:r>
      <w:r w:rsidR="00BE4C37" w:rsidRPr="00733F9F">
        <w:rPr>
          <w:rFonts w:ascii="Times New Roman" w:hAnsi="Times New Roman" w:cs="Times New Roman"/>
          <w:lang w:val="uk-UA"/>
        </w:rPr>
        <w:t xml:space="preserve">Розрахунковим періодом є календарний місяць який встановлюється з 1 числа місяця до такого ж числа наступного місяця. </w:t>
      </w:r>
    </w:p>
    <w:p w:rsidR="00BE4C37" w:rsidRPr="00733F9F" w:rsidRDefault="00BE4C37" w:rsidP="00C10B28">
      <w:pPr>
        <w:pStyle w:val="10"/>
        <w:numPr>
          <w:ilvl w:val="0"/>
          <w:numId w:val="1"/>
        </w:numPr>
        <w:shd w:val="clear" w:color="auto" w:fill="auto"/>
        <w:tabs>
          <w:tab w:val="left" w:pos="426"/>
          <w:tab w:val="left" w:pos="567"/>
        </w:tabs>
        <w:spacing w:before="120" w:after="120" w:line="240" w:lineRule="auto"/>
        <w:ind w:left="426" w:hanging="426"/>
        <w:rPr>
          <w:lang w:val="uk-UA"/>
        </w:rPr>
      </w:pPr>
      <w:bookmarkStart w:id="4" w:name="bookmark7"/>
      <w:r w:rsidRPr="00733F9F">
        <w:rPr>
          <w:lang w:val="uk-UA"/>
        </w:rPr>
        <w:t>Порядок оплати</w:t>
      </w:r>
      <w:bookmarkEnd w:id="4"/>
    </w:p>
    <w:p w:rsidR="00BE4C37" w:rsidRPr="00733F9F" w:rsidRDefault="00BE4C37"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Оплата обсягів споживання електричної енергії здійснюється наступними етапами:</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 xml:space="preserve"> до 24 дня місяця, що передує розрахунковому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05 дня розрахункового періоду - 35%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numPr>
          <w:ilvl w:val="1"/>
          <w:numId w:val="19"/>
        </w:numPr>
        <w:shd w:val="clear" w:color="auto" w:fill="auto"/>
        <w:spacing w:before="120" w:after="120" w:line="240" w:lineRule="auto"/>
        <w:ind w:left="1417" w:hanging="425"/>
        <w:contextualSpacing/>
        <w:jc w:val="both"/>
        <w:rPr>
          <w:lang w:val="uk-UA"/>
        </w:rPr>
      </w:pPr>
      <w:r w:rsidRPr="00733F9F">
        <w:rPr>
          <w:lang w:val="uk-UA"/>
        </w:rPr>
        <w:t>до 15 дня розрахункового періоду - 30% від орієнтовної вартості електричної енергії, що буде використана у розрахунковому періоді, визначеної відповідно до п. 5.2. даної Комерційної пропозиції.</w:t>
      </w:r>
    </w:p>
    <w:p w:rsidR="00B44A5B" w:rsidRPr="00733F9F" w:rsidRDefault="00B44A5B" w:rsidP="00C10B28">
      <w:pPr>
        <w:pStyle w:val="20"/>
        <w:shd w:val="clear" w:color="auto" w:fill="auto"/>
        <w:spacing w:before="120" w:after="120" w:line="240" w:lineRule="auto"/>
        <w:ind w:left="1417" w:firstLine="0"/>
        <w:contextualSpacing/>
        <w:jc w:val="both"/>
        <w:rPr>
          <w:lang w:val="uk-UA"/>
        </w:rPr>
      </w:pPr>
      <w:r w:rsidRPr="00733F9F">
        <w:rPr>
          <w:lang w:val="uk-UA"/>
        </w:rPr>
        <w:t xml:space="preserve">Остаточний розрахунок </w:t>
      </w:r>
      <w:r w:rsidR="006464BC" w:rsidRPr="00733F9F">
        <w:rPr>
          <w:lang w:val="uk-UA"/>
        </w:rPr>
        <w:t>Споживач</w:t>
      </w:r>
      <w:r w:rsidRPr="00733F9F">
        <w:rPr>
          <w:lang w:val="uk-UA"/>
        </w:rPr>
        <w:t>а за електричну енергію за розрахунковий період здійснюється в строк до 11 числа, місяця наступного за розрахунковим, відповідно до фактичного обсягу електричної енергії.</w:t>
      </w:r>
    </w:p>
    <w:p w:rsidR="00EF5803" w:rsidRPr="00733F9F" w:rsidRDefault="00C759EE" w:rsidP="00C10B28">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Попередня оплата (П</w:t>
      </w:r>
      <w:r w:rsidRPr="00733F9F">
        <w:rPr>
          <w:vertAlign w:val="subscript"/>
          <w:lang w:val="uk-UA"/>
        </w:rPr>
        <w:t>оп</w:t>
      </w:r>
      <w:r w:rsidRPr="00733F9F">
        <w:rPr>
          <w:lang w:val="uk-UA"/>
        </w:rPr>
        <w:t>)</w:t>
      </w:r>
      <w:r w:rsidRPr="00733F9F">
        <w:rPr>
          <w:vertAlign w:val="subscript"/>
          <w:lang w:val="uk-UA"/>
        </w:rPr>
        <w:t xml:space="preserve"> </w:t>
      </w:r>
      <w:r w:rsidR="00EF5803" w:rsidRPr="00733F9F">
        <w:rPr>
          <w:lang w:val="uk-UA"/>
        </w:rPr>
        <w:t xml:space="preserve">здійснюється у розмірі орієнтовної вартості електроенергії </w:t>
      </w:r>
      <w:r w:rsidR="009D279E" w:rsidRPr="00733F9F">
        <w:rPr>
          <w:lang w:val="uk-UA"/>
        </w:rPr>
        <w:t>без</w:t>
      </w:r>
      <w:r w:rsidR="00EF5803" w:rsidRPr="00733F9F">
        <w:rPr>
          <w:lang w:val="uk-UA"/>
        </w:rPr>
        <w:t xml:space="preserve"> ПДВ, яка вираховується за формулою:</w:t>
      </w:r>
    </w:p>
    <w:p w:rsidR="00123DF8" w:rsidRPr="00733F9F" w:rsidRDefault="00EF5803" w:rsidP="00C759EE">
      <w:pPr>
        <w:tabs>
          <w:tab w:val="left" w:pos="284"/>
        </w:tabs>
        <w:spacing w:before="120" w:after="120" w:line="240" w:lineRule="auto"/>
        <w:jc w:val="center"/>
        <w:rPr>
          <w:rFonts w:ascii="Times New Roman" w:hAnsi="Times New Roman" w:cs="Times New Roman"/>
          <w:b/>
          <w:lang w:val="uk-UA"/>
        </w:rPr>
      </w:pPr>
      <w:r w:rsidRPr="00733F9F">
        <w:rPr>
          <w:rFonts w:ascii="Times New Roman" w:hAnsi="Times New Roman" w:cs="Times New Roman"/>
          <w:b/>
          <w:lang w:val="uk-UA"/>
        </w:rPr>
        <w:t>П</w:t>
      </w:r>
      <w:r w:rsidRPr="00733F9F">
        <w:rPr>
          <w:rFonts w:ascii="Times New Roman" w:hAnsi="Times New Roman" w:cs="Times New Roman"/>
          <w:b/>
          <w:vertAlign w:val="subscript"/>
          <w:lang w:val="uk-UA"/>
        </w:rPr>
        <w:t>оп</w:t>
      </w:r>
      <w:r w:rsidRPr="00733F9F">
        <w:rPr>
          <w:rFonts w:ascii="Times New Roman" w:hAnsi="Times New Roman" w:cs="Times New Roman"/>
          <w:b/>
          <w:lang w:val="uk-UA"/>
        </w:rPr>
        <w:t xml:space="preserve"> =(Ц</w:t>
      </w:r>
      <w:r w:rsidRPr="00733F9F">
        <w:rPr>
          <w:rFonts w:ascii="Times New Roman" w:hAnsi="Times New Roman" w:cs="Times New Roman"/>
          <w:b/>
          <w:vertAlign w:val="subscript"/>
          <w:lang w:val="uk-UA"/>
        </w:rPr>
        <w:t>зак</w:t>
      </w:r>
      <w:r w:rsidRPr="00733F9F">
        <w:rPr>
          <w:rFonts w:ascii="Times New Roman" w:hAnsi="Times New Roman" w:cs="Times New Roman"/>
          <w:b/>
          <w:lang w:val="uk-UA"/>
        </w:rPr>
        <w:t xml:space="preserve"> + </w:t>
      </w:r>
      <w:r w:rsidR="00EC1E39" w:rsidRPr="00733F9F">
        <w:rPr>
          <w:rFonts w:ascii="Times New Roman" w:hAnsi="Times New Roman" w:cs="Times New Roman"/>
          <w:b/>
          <w:lang w:val="uk-UA"/>
        </w:rPr>
        <w:t>Ц</w:t>
      </w:r>
      <w:r w:rsidR="00EC1E39" w:rsidRPr="00733F9F">
        <w:rPr>
          <w:rFonts w:ascii="Times New Roman" w:hAnsi="Times New Roman" w:cs="Times New Roman"/>
          <w:b/>
          <w:vertAlign w:val="subscript"/>
          <w:lang w:val="uk-UA"/>
        </w:rPr>
        <w:t>п</w:t>
      </w:r>
      <w:r w:rsidR="005741DA" w:rsidRPr="00733F9F">
        <w:rPr>
          <w:rFonts w:ascii="Times New Roman" w:hAnsi="Times New Roman" w:cs="Times New Roman"/>
          <w:b/>
          <w:lang w:val="uk-UA"/>
        </w:rPr>
        <w:t xml:space="preserve"> + Т</w:t>
      </w:r>
      <w:r w:rsidRPr="00733F9F">
        <w:rPr>
          <w:rFonts w:ascii="Times New Roman" w:hAnsi="Times New Roman" w:cs="Times New Roman"/>
          <w:b/>
          <w:lang w:val="uk-UA"/>
        </w:rPr>
        <w:t>) * О</w:t>
      </w:r>
      <w:r w:rsidRPr="00733F9F">
        <w:rPr>
          <w:rFonts w:ascii="Times New Roman" w:hAnsi="Times New Roman" w:cs="Times New Roman"/>
          <w:b/>
          <w:vertAlign w:val="subscript"/>
          <w:lang w:val="uk-UA"/>
        </w:rPr>
        <w:t>сп</w:t>
      </w:r>
      <w:r w:rsidR="00C759EE" w:rsidRPr="00733F9F">
        <w:rPr>
          <w:rFonts w:ascii="Times New Roman" w:hAnsi="Times New Roman" w:cs="Times New Roman"/>
          <w:lang w:val="uk-UA"/>
        </w:rPr>
        <w:t>,</w:t>
      </w:r>
      <w:r w:rsidR="00C759EE" w:rsidRPr="00733F9F">
        <w:rPr>
          <w:rFonts w:ascii="Times New Roman" w:hAnsi="Times New Roman" w:cs="Times New Roman"/>
          <w:b/>
          <w:vertAlign w:val="subscript"/>
          <w:lang w:val="uk-UA"/>
        </w:rPr>
        <w:t xml:space="preserve"> </w:t>
      </w:r>
      <w:r w:rsidR="00472B71" w:rsidRPr="00733F9F">
        <w:rPr>
          <w:rFonts w:ascii="Times New Roman" w:hAnsi="Times New Roman" w:cs="Times New Roman"/>
          <w:lang w:val="uk-UA"/>
        </w:rPr>
        <w:t>де:</w:t>
      </w:r>
    </w:p>
    <w:p w:rsidR="00EF5803"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О</w:t>
      </w:r>
      <w:r w:rsidRPr="00733F9F">
        <w:rPr>
          <w:rFonts w:ascii="Times New Roman" w:hAnsi="Times New Roman" w:cs="Times New Roman"/>
          <w:vertAlign w:val="subscript"/>
          <w:lang w:val="uk-UA"/>
        </w:rPr>
        <w:t>сп</w:t>
      </w:r>
      <w:r w:rsidRPr="00733F9F">
        <w:rPr>
          <w:rFonts w:ascii="Times New Roman" w:hAnsi="Times New Roman" w:cs="Times New Roman"/>
          <w:lang w:val="uk-UA"/>
        </w:rPr>
        <w:t xml:space="preserve"> – заявлений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ем обсяг постачання електричної енергії у відповідному розрахунковому періоді. </w:t>
      </w:r>
    </w:p>
    <w:p w:rsidR="00C10B28" w:rsidRPr="00733F9F" w:rsidRDefault="00EF5803"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Ц</w:t>
      </w:r>
      <w:r w:rsidRPr="00733F9F">
        <w:rPr>
          <w:rFonts w:ascii="Times New Roman" w:hAnsi="Times New Roman" w:cs="Times New Roman"/>
          <w:vertAlign w:val="subscript"/>
          <w:lang w:val="uk-UA"/>
        </w:rPr>
        <w:t>зак</w:t>
      </w:r>
      <w:r w:rsidRPr="00733F9F">
        <w:rPr>
          <w:rFonts w:ascii="Times New Roman" w:hAnsi="Times New Roman" w:cs="Times New Roman"/>
          <w:lang w:val="uk-UA"/>
        </w:rPr>
        <w:t xml:space="preserve"> – середня ціна закупівлі електричної енергії Постачальником для потреб </w:t>
      </w:r>
      <w:r w:rsidR="006464BC" w:rsidRPr="00733F9F">
        <w:rPr>
          <w:rFonts w:ascii="Times New Roman" w:hAnsi="Times New Roman" w:cs="Times New Roman"/>
          <w:lang w:val="uk-UA"/>
        </w:rPr>
        <w:t>Споживач</w:t>
      </w:r>
      <w:r w:rsidRPr="00733F9F">
        <w:rPr>
          <w:rFonts w:ascii="Times New Roman" w:hAnsi="Times New Roman" w:cs="Times New Roman"/>
          <w:lang w:val="uk-UA"/>
        </w:rPr>
        <w:t xml:space="preserve">ів, яка розраховується як середня закупівельна ціна електричної енергії, що склалася на Ринку на добу наперед за відповідний розрахунковий період. </w:t>
      </w:r>
    </w:p>
    <w:p w:rsidR="00BE4C37" w:rsidRPr="00451763" w:rsidRDefault="00BE4C37" w:rsidP="00C10B28">
      <w:pPr>
        <w:pStyle w:val="a3"/>
        <w:spacing w:before="120" w:after="120" w:line="240" w:lineRule="auto"/>
        <w:ind w:left="992"/>
        <w:contextualSpacing w:val="0"/>
        <w:jc w:val="both"/>
        <w:rPr>
          <w:rFonts w:ascii="Times New Roman" w:hAnsi="Times New Roman" w:cs="Times New Roman"/>
          <w:lang w:val="uk-UA"/>
        </w:rPr>
      </w:pPr>
      <w:r w:rsidRPr="00733F9F">
        <w:rPr>
          <w:rFonts w:ascii="Times New Roman" w:hAnsi="Times New Roman" w:cs="Times New Roman"/>
          <w:lang w:val="uk-UA"/>
        </w:rPr>
        <w:t xml:space="preserve">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електричної </w:t>
      </w:r>
      <w:r w:rsidRPr="00451763">
        <w:rPr>
          <w:rFonts w:ascii="Times New Roman" w:hAnsi="Times New Roman" w:cs="Times New Roman"/>
          <w:lang w:val="uk-UA"/>
        </w:rPr>
        <w:t>енергії попереднього розрахункового періоду, що передує даті видачі рахунку.</w:t>
      </w:r>
    </w:p>
    <w:p w:rsidR="00EC1E39" w:rsidRPr="00733F9F" w:rsidRDefault="00EC1E39" w:rsidP="00C10B28">
      <w:pPr>
        <w:pStyle w:val="a3"/>
        <w:spacing w:before="120" w:after="120" w:line="240" w:lineRule="auto"/>
        <w:ind w:left="992" w:hanging="567"/>
        <w:contextualSpacing w:val="0"/>
        <w:jc w:val="both"/>
        <w:rPr>
          <w:rFonts w:ascii="Times New Roman" w:hAnsi="Times New Roman" w:cs="Times New Roman"/>
          <w:lang w:val="uk-UA"/>
        </w:rPr>
      </w:pPr>
      <w:r w:rsidRPr="00451763">
        <w:rPr>
          <w:rFonts w:ascii="Times New Roman" w:hAnsi="Times New Roman" w:cs="Times New Roman"/>
          <w:lang w:val="uk-UA"/>
        </w:rPr>
        <w:t>Ц</w:t>
      </w:r>
      <w:r w:rsidRPr="00451763">
        <w:rPr>
          <w:rFonts w:ascii="Times New Roman" w:hAnsi="Times New Roman" w:cs="Times New Roman"/>
          <w:vertAlign w:val="subscript"/>
          <w:lang w:val="uk-UA"/>
        </w:rPr>
        <w:t>п</w:t>
      </w:r>
      <w:r w:rsidRPr="00451763">
        <w:rPr>
          <w:rFonts w:ascii="Times New Roman" w:hAnsi="Times New Roman" w:cs="Times New Roman"/>
          <w:lang w:val="uk-UA"/>
        </w:rPr>
        <w:t xml:space="preserve"> – ціна додаткових послуг, </w:t>
      </w:r>
      <w:r w:rsidR="00E82145" w:rsidRPr="00451763">
        <w:rPr>
          <w:rFonts w:ascii="Times New Roman" w:hAnsi="Times New Roman" w:cs="Times New Roman"/>
          <w:lang w:val="uk-UA"/>
        </w:rPr>
        <w:t xml:space="preserve">якщо споживання електричної енергії в місяць становить від </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50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000 до 100</w:t>
      </w:r>
      <w:r w:rsidR="00934BDC" w:rsidRPr="00451763">
        <w:rPr>
          <w:rFonts w:ascii="Times New Roman" w:hAnsi="Times New Roman" w:cs="Times New Roman"/>
          <w:lang w:val="uk-UA"/>
        </w:rPr>
        <w:t xml:space="preserve"> </w:t>
      </w:r>
      <w:r w:rsidR="00E82145" w:rsidRPr="00451763">
        <w:rPr>
          <w:rFonts w:ascii="Times New Roman" w:hAnsi="Times New Roman" w:cs="Times New Roman"/>
          <w:lang w:val="uk-UA"/>
        </w:rPr>
        <w:t xml:space="preserve">000 кВт </w:t>
      </w:r>
      <w:r w:rsidRPr="00451763">
        <w:rPr>
          <w:rFonts w:ascii="Times New Roman" w:hAnsi="Times New Roman" w:cs="Times New Roman"/>
          <w:lang w:val="uk-UA"/>
        </w:rPr>
        <w:t xml:space="preserve"> і складає </w:t>
      </w:r>
      <w:r w:rsidR="00C765F2" w:rsidRPr="00451763">
        <w:rPr>
          <w:rFonts w:ascii="Times New Roman" w:hAnsi="Times New Roman" w:cs="Times New Roman"/>
          <w:lang w:val="uk-UA"/>
        </w:rPr>
        <w:t>0,</w:t>
      </w:r>
      <w:r w:rsidR="00E82145" w:rsidRPr="00451763">
        <w:rPr>
          <w:rFonts w:ascii="Times New Roman" w:hAnsi="Times New Roman" w:cs="Times New Roman"/>
          <w:lang w:val="uk-UA"/>
        </w:rPr>
        <w:t>3</w:t>
      </w:r>
      <w:r w:rsidRPr="00451763">
        <w:rPr>
          <w:rFonts w:ascii="Times New Roman" w:hAnsi="Times New Roman" w:cs="Times New Roman"/>
          <w:lang w:val="uk-UA"/>
        </w:rPr>
        <w:t xml:space="preserve"> </w:t>
      </w:r>
      <w:r w:rsidR="00234079">
        <w:rPr>
          <w:rFonts w:ascii="Times New Roman" w:hAnsi="Times New Roman" w:cs="Times New Roman"/>
          <w:lang w:val="uk-UA"/>
        </w:rPr>
        <w:t>грн</w:t>
      </w:r>
      <w:r w:rsidRPr="00451763">
        <w:rPr>
          <w:rFonts w:ascii="Times New Roman" w:hAnsi="Times New Roman" w:cs="Times New Roman"/>
          <w:lang w:val="uk-UA"/>
        </w:rPr>
        <w:t>/кВт*год.</w:t>
      </w:r>
    </w:p>
    <w:p w:rsidR="005741DA" w:rsidRPr="00733F9F" w:rsidRDefault="005741DA" w:rsidP="00C10B28">
      <w:pPr>
        <w:pStyle w:val="a3"/>
        <w:spacing w:before="120" w:after="120" w:line="240" w:lineRule="auto"/>
        <w:ind w:left="992" w:hanging="567"/>
        <w:contextualSpacing w:val="0"/>
        <w:jc w:val="both"/>
        <w:rPr>
          <w:rFonts w:ascii="Times New Roman" w:hAnsi="Times New Roman" w:cs="Times New Roman"/>
          <w:lang w:val="uk-UA"/>
        </w:rPr>
      </w:pPr>
      <w:r w:rsidRPr="00733F9F">
        <w:rPr>
          <w:rFonts w:ascii="Times New Roman" w:hAnsi="Times New Roman" w:cs="Times New Roman"/>
          <w:lang w:val="uk-UA"/>
        </w:rPr>
        <w:t>Т – ціна (тариф) послуг оператора системи передачі (ціна регульованих послуг), грн/кВт*год.</w:t>
      </w:r>
    </w:p>
    <w:p w:rsidR="00E00154" w:rsidRDefault="006464BC" w:rsidP="007534E4">
      <w:pPr>
        <w:pStyle w:val="20"/>
        <w:numPr>
          <w:ilvl w:val="1"/>
          <w:numId w:val="1"/>
        </w:numPr>
        <w:shd w:val="clear" w:color="auto" w:fill="auto"/>
        <w:tabs>
          <w:tab w:val="left" w:pos="993"/>
        </w:tabs>
        <w:spacing w:before="120" w:after="120" w:line="240" w:lineRule="auto"/>
        <w:ind w:left="993" w:hanging="567"/>
        <w:jc w:val="both"/>
        <w:rPr>
          <w:lang w:val="uk-UA"/>
        </w:rPr>
      </w:pPr>
      <w:r w:rsidRPr="00093BDD">
        <w:rPr>
          <w:lang w:val="uk-UA"/>
        </w:rPr>
        <w:t>Споживач</w:t>
      </w:r>
      <w:r w:rsidR="00BE4C37" w:rsidRPr="00093BDD">
        <w:rPr>
          <w:lang w:val="uk-UA"/>
        </w:rPr>
        <w:t xml:space="preserve"> надає звіти про покази засобу обліку за формою, яка є зразком до даного Договору, або формою, узгодженою з оператором системи розподілу, за відповідний розрахунковий період. В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зокрема, за середньодобовим споживанням.</w:t>
      </w:r>
    </w:p>
    <w:p w:rsidR="002A7629" w:rsidRPr="00093BDD" w:rsidRDefault="002A7629" w:rsidP="002A7629">
      <w:pPr>
        <w:pStyle w:val="20"/>
        <w:shd w:val="clear" w:color="auto" w:fill="auto"/>
        <w:tabs>
          <w:tab w:val="left" w:pos="993"/>
        </w:tabs>
        <w:spacing w:before="120" w:after="120" w:line="240" w:lineRule="auto"/>
        <w:ind w:left="993" w:firstLine="0"/>
        <w:jc w:val="both"/>
        <w:rPr>
          <w:lang w:val="uk-UA"/>
        </w:rPr>
      </w:pPr>
      <w:bookmarkStart w:id="5" w:name="_GoBack"/>
      <w:bookmarkEnd w:id="5"/>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bookmarkStart w:id="6" w:name="bookmark8"/>
      <w:r w:rsidRPr="00733F9F">
        <w:rPr>
          <w:lang w:val="uk-UA"/>
        </w:rPr>
        <w:lastRenderedPageBreak/>
        <w:t>Термін (строк) надання рахунку за спожиту електричну енергію (акту прийняття-передавання) та термін (строк) оплати</w:t>
      </w:r>
      <w:bookmarkEnd w:id="6"/>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Рахунки надаються у день подання </w:t>
      </w:r>
      <w:r w:rsidR="006464BC" w:rsidRPr="00733F9F">
        <w:rPr>
          <w:lang w:val="uk-UA"/>
        </w:rPr>
        <w:t>Споживач</w:t>
      </w:r>
      <w:r w:rsidRPr="00733F9F">
        <w:rPr>
          <w:lang w:val="uk-UA"/>
        </w:rPr>
        <w:t xml:space="preserve">ем звіту. Для нових </w:t>
      </w:r>
      <w:r w:rsidR="006464BC" w:rsidRPr="00733F9F">
        <w:rPr>
          <w:lang w:val="uk-UA"/>
        </w:rPr>
        <w:t>Споживач</w:t>
      </w:r>
      <w:r w:rsidRPr="00733F9F">
        <w:rPr>
          <w:lang w:val="uk-UA"/>
        </w:rPr>
        <w:t xml:space="preserve">ів перший рахунок надається протягом </w:t>
      </w:r>
      <w:r w:rsidR="001F46B2" w:rsidRPr="00733F9F">
        <w:rPr>
          <w:lang w:val="uk-UA"/>
        </w:rPr>
        <w:t>5</w:t>
      </w:r>
      <w:r w:rsidRPr="00733F9F">
        <w:rPr>
          <w:lang w:val="uk-UA"/>
        </w:rPr>
        <w:t xml:space="preserve">-х днів з дати подання </w:t>
      </w:r>
      <w:r w:rsidR="006464BC" w:rsidRPr="00733F9F">
        <w:rPr>
          <w:lang w:val="uk-UA"/>
        </w:rPr>
        <w:t>Споживач</w:t>
      </w:r>
      <w:r w:rsidRPr="00733F9F">
        <w:rPr>
          <w:lang w:val="uk-UA"/>
        </w:rPr>
        <w:t>ем заяви-приєднання Постачальнику.</w:t>
      </w:r>
    </w:p>
    <w:p w:rsidR="00BE4C37" w:rsidRPr="00733F9F" w:rsidRDefault="00BE4C37"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У разі неодержання рахунку, </w:t>
      </w:r>
      <w:r w:rsidR="006464BC" w:rsidRPr="00733F9F">
        <w:rPr>
          <w:lang w:val="uk-UA"/>
        </w:rPr>
        <w:t>Споживач</w:t>
      </w:r>
      <w:r w:rsidRPr="00733F9F">
        <w:rPr>
          <w:lang w:val="uk-UA"/>
        </w:rPr>
        <w:t xml:space="preserve"> самостійно оформляє платіжні документи та здійснює оплату на їх підставі у строк, зазначений у п. 5.1. Комерційної пропозиції.</w:t>
      </w:r>
    </w:p>
    <w:p w:rsidR="00BE4C37"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Акт прийняття-передавання оформлюється Постачальником у день надання звіту.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Визначення способу оплати послуг з розподілу</w:t>
      </w:r>
    </w:p>
    <w:p w:rsidR="0073125A"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Споживач</w:t>
      </w:r>
      <w:r w:rsidR="00BE4C37" w:rsidRPr="00733F9F">
        <w:rPr>
          <w:lang w:val="uk-UA"/>
        </w:rPr>
        <w:t xml:space="preserve"> здійснює оплату послуг з розподілу </w:t>
      </w:r>
      <w:r w:rsidR="00BE4C37" w:rsidRPr="00733F9F">
        <w:rPr>
          <w:b/>
          <w:lang w:val="uk-UA"/>
        </w:rPr>
        <w:t>самостійно.</w:t>
      </w:r>
    </w:p>
    <w:p w:rsidR="0073125A"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Умови визначення обсягів постачання електричної енергії</w:t>
      </w:r>
      <w:r w:rsidR="0073125A" w:rsidRPr="00733F9F">
        <w:rPr>
          <w:lang w:val="uk-UA"/>
        </w:rPr>
        <w:t xml:space="preserve"> </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Разом із заявою-приєднання до умов Договору (Додаток № 2) та не пізніше 01 грудня кожного поточного року </w:t>
      </w:r>
      <w:r w:rsidR="006464BC" w:rsidRPr="00733F9F">
        <w:rPr>
          <w:lang w:val="uk-UA"/>
        </w:rPr>
        <w:t>Споживач</w:t>
      </w:r>
      <w:r w:rsidRPr="00733F9F">
        <w:rPr>
          <w:lang w:val="uk-UA"/>
        </w:rPr>
        <w:t xml:space="preserve">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 3 «Обсяги очікуваного споживання електричної енергії на 20__ рік»), а також погодинні обсяги споживання електричної енергії на перший місяць постачання (Додаток № 3.1 «Погодинні обсяги споживання електричної енергії»).</w:t>
      </w:r>
    </w:p>
    <w:p w:rsidR="0030333C"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Постачання електроенергії у розрахунковому періоді Постачальником здійснюється у відповідності до погодинних обсягів споживання електричної енергії, які узгоджені Сторонами у Додатку № 3.1, або скориговані відповідно до цього Договору.</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площадки вимірювання якого визначені ОСР/НЕК як група «б», може скоригувати або надати відомості зазначені у Додатку № 3 на наступний розрахунковий період, за умови повідомлення Постачальника до 08 числа місяця (М-1), що передує місяцю постачання (М). У разі відсутності відомостей, зазначених у Додатку № 3, Постачальник використовує відомості на підставі історичних даних місяця постачання </w:t>
      </w:r>
      <w:r w:rsidR="00991B9C" w:rsidRPr="00733F9F">
        <w:rPr>
          <w:lang w:val="uk-UA"/>
        </w:rPr>
        <w:br/>
      </w:r>
      <w:r w:rsidR="00C806C5" w:rsidRPr="00733F9F">
        <w:rPr>
          <w:lang w:val="uk-UA"/>
        </w:rPr>
        <w:t>М-2.</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може надавати відомості про погодинні обсяги споживання електричної енергії (Додаток № 3.1) більше ніж на 1 добу (на декілька днів, на тиждень, на місяць).</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у випадку необхідності з метою уточнення може скоригувати відомості про погодинні обсяги споживання електричної енергії (Додаток № 3.1) до 16:00 п’ятого календарного дня (Д-5), що передує дню постачання (Д).</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площадки вимірювання якого визначені ОСР/НЕК як група «б», у випадку необхідності з метою уточнення може скоригувати відомості про обсяги споживання електричної енергії (Додаток № 3) до 12 числа місяця постачання (М).</w:t>
      </w:r>
    </w:p>
    <w:p w:rsidR="00C806C5" w:rsidRPr="00733F9F" w:rsidRDefault="00C806C5" w:rsidP="001C7B6D">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Відомості про погодинні обсяги споживання</w:t>
      </w:r>
      <w:r w:rsidR="00991B9C" w:rsidRPr="00733F9F">
        <w:rPr>
          <w:lang w:val="uk-UA"/>
        </w:rPr>
        <w:t xml:space="preserve"> електричної енергії згідно пп.</w:t>
      </w:r>
      <w:r w:rsidRPr="00733F9F">
        <w:rPr>
          <w:lang w:val="uk-UA"/>
        </w:rPr>
        <w:t xml:space="preserve">5.3. та/або 5.4. надсилаються </w:t>
      </w:r>
      <w:r w:rsidR="006464BC" w:rsidRPr="00733F9F">
        <w:rPr>
          <w:lang w:val="uk-UA"/>
        </w:rPr>
        <w:t>Споживач</w:t>
      </w:r>
      <w:r w:rsidRPr="00733F9F">
        <w:rPr>
          <w:lang w:val="uk-UA"/>
        </w:rPr>
        <w:t xml:space="preserve">ем на </w:t>
      </w:r>
      <w:r w:rsidR="00123DF8" w:rsidRPr="00733F9F">
        <w:rPr>
          <w:lang w:val="uk-UA"/>
        </w:rPr>
        <w:t xml:space="preserve">електронну адресу Постачальника </w:t>
      </w:r>
      <w:r w:rsidR="001C7B6D" w:rsidRPr="001C7B6D">
        <w:rPr>
          <w:lang w:val="uk-UA"/>
        </w:rPr>
        <w:t>info@teploseti.zp.ua</w:t>
      </w:r>
      <w:r w:rsidR="00F963BE" w:rsidRPr="00733F9F">
        <w:rPr>
          <w:lang w:val="uk-UA"/>
        </w:rPr>
        <w:t xml:space="preserve"> </w:t>
      </w:r>
      <w:r w:rsidRPr="00733F9F">
        <w:rPr>
          <w:lang w:val="uk-UA"/>
        </w:rPr>
        <w:t xml:space="preserve">у вигляді електронного документу (файл Excel) підписаного електронним цифровим підписом. У разі відсутності електронного цифрового підпису </w:t>
      </w:r>
      <w:r w:rsidR="006464BC" w:rsidRPr="00733F9F">
        <w:rPr>
          <w:lang w:val="uk-UA"/>
        </w:rPr>
        <w:t>Споживач</w:t>
      </w:r>
      <w:r w:rsidRPr="00733F9F">
        <w:rPr>
          <w:lang w:val="uk-UA"/>
        </w:rPr>
        <w:t xml:space="preserve"> надсилає два файли: файл Excel з відомостями про погодин</w:t>
      </w:r>
      <w:r w:rsidR="00991B9C" w:rsidRPr="00733F9F">
        <w:rPr>
          <w:lang w:val="uk-UA"/>
        </w:rPr>
        <w:t>ні обсяги споживання згідно пп.</w:t>
      </w:r>
      <w:r w:rsidRPr="00733F9F">
        <w:rPr>
          <w:lang w:val="uk-UA"/>
        </w:rPr>
        <w:t xml:space="preserve">5.3. та/або 5.4. та його сканований формат, підписаний та скріплений печаткою (у разі наявності) </w:t>
      </w:r>
      <w:r w:rsidR="006464BC" w:rsidRPr="00733F9F">
        <w:rPr>
          <w:lang w:val="uk-UA"/>
        </w:rPr>
        <w:t>Споживач</w:t>
      </w:r>
      <w:r w:rsidRPr="00733F9F">
        <w:rPr>
          <w:lang w:val="uk-UA"/>
        </w:rPr>
        <w:t>а.</w:t>
      </w:r>
    </w:p>
    <w:p w:rsidR="00C806C5" w:rsidRPr="00733F9F" w:rsidRDefault="00C806C5"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разі ненадання </w:t>
      </w:r>
      <w:r w:rsidR="006464BC" w:rsidRPr="00733F9F">
        <w:rPr>
          <w:lang w:val="uk-UA"/>
        </w:rPr>
        <w:t>Споживач</w:t>
      </w:r>
      <w:r w:rsidRPr="00733F9F">
        <w:rPr>
          <w:lang w:val="uk-UA"/>
        </w:rPr>
        <w:t>ем відомостей про погодинні обсяги споживання електричної енергії у встан</w:t>
      </w:r>
      <w:r w:rsidR="00991B9C" w:rsidRPr="00733F9F">
        <w:rPr>
          <w:lang w:val="uk-UA"/>
        </w:rPr>
        <w:t>овлений термін відповідно до п.</w:t>
      </w:r>
      <w:r w:rsidRPr="00733F9F">
        <w:rPr>
          <w:lang w:val="uk-UA"/>
        </w:rPr>
        <w:t xml:space="preserve">5.3. Договору, погодинні обсяги споживання на відповідну добу постачання встановлюється Постачальником самостійно, враховуючи обсяги споживання електричної енергії </w:t>
      </w:r>
      <w:r w:rsidR="006464BC" w:rsidRPr="00733F9F">
        <w:rPr>
          <w:lang w:val="uk-UA"/>
        </w:rPr>
        <w:t>Споживач</w:t>
      </w:r>
      <w:r w:rsidRPr="00733F9F">
        <w:rPr>
          <w:lang w:val="uk-UA"/>
        </w:rPr>
        <w:t>ем. У такому випадку Постачальник не несе відповідальність за неточність визначення погодинних обсягів споживання електричної енергії.</w:t>
      </w:r>
    </w:p>
    <w:p w:rsidR="00C806C5"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C806C5" w:rsidRPr="00733F9F">
        <w:rPr>
          <w:lang w:val="uk-UA"/>
        </w:rPr>
        <w:t xml:space="preserve"> зобов’язаний надавати погодинні фактичні обсяги споживання за кожну добу постачання до 10:00 наступного дня за днем постачання. (необхідний пункт для подальшого коригування небалансів).</w:t>
      </w:r>
    </w:p>
    <w:p w:rsidR="00BF29EC"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lastRenderedPageBreak/>
        <w:t>Споживач</w:t>
      </w:r>
      <w:r w:rsidR="00C806C5" w:rsidRPr="00733F9F">
        <w:rPr>
          <w:lang w:val="uk-UA"/>
        </w:rPr>
        <w:t xml:space="preserve"> несе відповідальність перед Постачальником за небаланси елект</w:t>
      </w:r>
      <w:r w:rsidR="00C806C5" w:rsidRPr="00733F9F">
        <w:rPr>
          <w:lang w:val="uk-UA" w:eastAsia="ru-RU"/>
        </w:rPr>
        <w:t>ричної енергії відповідно до умов цього Договору.</w:t>
      </w:r>
    </w:p>
    <w:p w:rsidR="00BE4C37" w:rsidRPr="00733F9F" w:rsidRDefault="00BE4C37" w:rsidP="00991B9C">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Розмір пені за порушення строку оплати та інші санкції</w:t>
      </w:r>
    </w:p>
    <w:p w:rsidR="00991B9C" w:rsidRPr="00733F9F" w:rsidRDefault="00BE4C37"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внесення платежів, передбачених умовами Договору, з порушенням </w:t>
      </w:r>
      <w:r w:rsidR="00571473" w:rsidRPr="00733F9F">
        <w:rPr>
          <w:lang w:val="uk-UA"/>
        </w:rPr>
        <w:t>строків</w:t>
      </w:r>
      <w:r w:rsidRPr="00733F9F">
        <w:rPr>
          <w:lang w:val="uk-UA"/>
        </w:rPr>
        <w:t xml:space="preserve">, визначених цією комерційною пропозицією, </w:t>
      </w:r>
      <w:r w:rsidR="006464BC" w:rsidRPr="00733F9F">
        <w:rPr>
          <w:lang w:val="uk-UA"/>
        </w:rPr>
        <w:t>Споживач</w:t>
      </w:r>
      <w:r w:rsidRPr="00733F9F">
        <w:rPr>
          <w:lang w:val="uk-UA"/>
        </w:rPr>
        <w:t xml:space="preserve">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991B9C" w:rsidRPr="00733F9F" w:rsidRDefault="000D64F4" w:rsidP="00991B9C">
      <w:pPr>
        <w:pStyle w:val="20"/>
        <w:shd w:val="clear" w:color="auto" w:fill="auto"/>
        <w:tabs>
          <w:tab w:val="left" w:pos="993"/>
        </w:tabs>
        <w:spacing w:before="120" w:after="120" w:line="240" w:lineRule="auto"/>
        <w:ind w:left="993" w:firstLine="0"/>
        <w:jc w:val="both"/>
        <w:rPr>
          <w:lang w:val="uk-UA"/>
        </w:rPr>
      </w:pPr>
      <w:r w:rsidRPr="00733F9F">
        <w:rPr>
          <w:lang w:val="uk-UA"/>
        </w:rPr>
        <w:t xml:space="preserve">Нарахування </w:t>
      </w:r>
      <w:r w:rsidR="00FC662C" w:rsidRPr="00733F9F">
        <w:rPr>
          <w:lang w:val="uk-UA"/>
        </w:rPr>
        <w:t>пені</w:t>
      </w:r>
      <w:r w:rsidRPr="00733F9F">
        <w:rPr>
          <w:lang w:val="uk-UA"/>
        </w:rPr>
        <w:t xml:space="preserve"> за прострочення виконання зобов'язання, якщо інше не встановлено законом, </w:t>
      </w:r>
      <w:r w:rsidR="00FC662C" w:rsidRPr="00733F9F">
        <w:rPr>
          <w:lang w:val="uk-UA"/>
        </w:rPr>
        <w:t xml:space="preserve">не </w:t>
      </w:r>
      <w:r w:rsidRPr="00733F9F">
        <w:rPr>
          <w:lang w:val="uk-UA"/>
        </w:rPr>
        <w:t>припиняється через шість місяців від дня, коли зобов'язання мало бути виконано.</w:t>
      </w:r>
    </w:p>
    <w:p w:rsidR="00DC4551"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shd w:val="clear" w:color="auto" w:fill="FFFFFF"/>
          <w:lang w:val="uk-UA"/>
        </w:rPr>
        <w:t>Споживач</w:t>
      </w:r>
      <w:r w:rsidR="00E96D8C" w:rsidRPr="00733F9F">
        <w:rPr>
          <w:shd w:val="clear" w:color="auto" w:fill="FFFFFF"/>
          <w:lang w:val="uk-UA"/>
        </w:rPr>
        <w:t xml:space="preserve"> за вимогою Постачальника сплачує  штраф у розмірі 5 (п’яти) відсотків від заявленого обсягу електричної енергії на розрахунковий період (Додаток № 3), за який сталося прострочення оплати електричної енергії, у разі прострочення такої оплати більше ніж на 10 календарних днів.</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 xml:space="preserve">Розмір компенсації </w:t>
      </w:r>
      <w:r w:rsidR="006464BC" w:rsidRPr="00733F9F">
        <w:rPr>
          <w:lang w:val="uk-UA"/>
        </w:rPr>
        <w:t>Споживач</w:t>
      </w:r>
      <w:r w:rsidRPr="00733F9F">
        <w:rPr>
          <w:lang w:val="uk-UA"/>
        </w:rPr>
        <w:t>у за недодержання Постачальником комерційної якості послуг</w:t>
      </w:r>
    </w:p>
    <w:p w:rsidR="00BF29EC"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b/>
          <w:lang w:val="uk-UA"/>
        </w:rPr>
      </w:pPr>
      <w:r w:rsidRPr="00733F9F">
        <w:rPr>
          <w:lang w:val="uk-U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Штраф за дострокове припинення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 випадку не повідомлення (повідомлення з порушенням строків) Постачальника про дострокове припинення (розірвання) договору </w:t>
      </w:r>
      <w:r w:rsidR="006464BC" w:rsidRPr="00733F9F">
        <w:rPr>
          <w:lang w:val="uk-UA"/>
        </w:rPr>
        <w:t>Споживач</w:t>
      </w:r>
      <w:r w:rsidRPr="00733F9F">
        <w:rPr>
          <w:lang w:val="uk-UA"/>
        </w:rPr>
        <w:t xml:space="preserve">ем, </w:t>
      </w:r>
      <w:r w:rsidR="006464BC" w:rsidRPr="00733F9F">
        <w:rPr>
          <w:lang w:val="uk-UA"/>
        </w:rPr>
        <w:t>Споживач</w:t>
      </w:r>
      <w:r w:rsidRPr="00733F9F">
        <w:rPr>
          <w:lang w:val="uk-UA"/>
        </w:rPr>
        <w:t xml:space="preserve"> сплачує штраф у розмірі вартості електричної енергії, заявленої </w:t>
      </w:r>
      <w:r w:rsidR="006464BC" w:rsidRPr="00733F9F">
        <w:rPr>
          <w:lang w:val="uk-UA"/>
        </w:rPr>
        <w:t>Споживач</w:t>
      </w:r>
      <w:r w:rsidRPr="00733F9F">
        <w:rPr>
          <w:lang w:val="uk-UA"/>
        </w:rPr>
        <w:t xml:space="preserve">ем, як прогнозований обсяг споживання в місяці, в якому було подано повідомлення про дострокове припинення дії договору. </w:t>
      </w:r>
      <w:r w:rsidR="006464BC" w:rsidRPr="00733F9F">
        <w:rPr>
          <w:lang w:val="uk-UA"/>
        </w:rPr>
        <w:t>Споживач</w:t>
      </w:r>
      <w:r w:rsidRPr="00733F9F">
        <w:rPr>
          <w:lang w:val="uk-UA"/>
        </w:rPr>
        <w:t xml:space="preserve"> також сплачує вартість погодинних небалансів, що сталися у зв’язку з достроковим розірванням Договору </w:t>
      </w:r>
      <w:r w:rsidR="006464BC" w:rsidRPr="00733F9F">
        <w:rPr>
          <w:lang w:val="uk-UA"/>
        </w:rPr>
        <w:t>Споживач</w:t>
      </w:r>
      <w:r w:rsidRPr="00733F9F">
        <w:rPr>
          <w:lang w:val="uk-UA"/>
        </w:rPr>
        <w:t xml:space="preserve">ем, які розраховані Адміністратором розрахунків, у порядку та розмірах визначених Правилами ринку та Договором. </w:t>
      </w:r>
    </w:p>
    <w:p w:rsidR="008C1868" w:rsidRPr="00733F9F" w:rsidRDefault="008C1868" w:rsidP="00991B9C">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Строк дії договору</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Цей Договір укладається на строк 1 (один) рік та набирає чинності з моменту погодження (акцептування) </w:t>
      </w:r>
      <w:r w:rsidR="006464BC" w:rsidRPr="00733F9F">
        <w:rPr>
          <w:lang w:val="uk-UA"/>
        </w:rPr>
        <w:t>Споживач</w:t>
      </w:r>
      <w:r w:rsidRPr="00733F9F">
        <w:rPr>
          <w:lang w:val="uk-UA"/>
        </w:rPr>
        <w:t>ем за</w:t>
      </w:r>
      <w:r w:rsidR="000C5A29" w:rsidRPr="00733F9F">
        <w:rPr>
          <w:lang w:val="uk-UA"/>
        </w:rPr>
        <w:t>яви-приєднання, яка є додатком 2</w:t>
      </w:r>
      <w:r w:rsidRPr="00733F9F">
        <w:rPr>
          <w:lang w:val="uk-UA"/>
        </w:rPr>
        <w:t xml:space="preserve"> до Договору та </w:t>
      </w:r>
      <w:r w:rsidR="00991B9C" w:rsidRPr="00733F9F">
        <w:rPr>
          <w:lang w:val="uk-UA"/>
        </w:rPr>
        <w:t xml:space="preserve">оплати рахунку визначеного в </w:t>
      </w:r>
      <w:r w:rsidR="00991B9C" w:rsidRPr="00733F9F">
        <w:rPr>
          <w:lang w:val="uk-UA"/>
        </w:rPr>
        <w:br/>
        <w:t>п.</w:t>
      </w:r>
      <w:r w:rsidRPr="00733F9F">
        <w:rPr>
          <w:lang w:val="uk-UA"/>
        </w:rPr>
        <w:t>5. Комерційної пропозиції.</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За умови дострокового припинення (розірвання) Договору за ініціативою </w:t>
      </w:r>
      <w:r w:rsidR="006464BC" w:rsidRPr="00733F9F">
        <w:rPr>
          <w:lang w:val="uk-UA"/>
        </w:rPr>
        <w:t>Споживач</w:t>
      </w:r>
      <w:r w:rsidRPr="00733F9F">
        <w:rPr>
          <w:lang w:val="uk-UA"/>
        </w:rPr>
        <w:t xml:space="preserve">а, </w:t>
      </w:r>
      <w:r w:rsidR="006464BC" w:rsidRPr="00733F9F">
        <w:rPr>
          <w:lang w:val="uk-UA"/>
        </w:rPr>
        <w:t>Споживач</w:t>
      </w:r>
      <w:r w:rsidRPr="00733F9F">
        <w:rPr>
          <w:lang w:val="uk-UA"/>
        </w:rPr>
        <w:t xml:space="preserve"> зобов'язаний сплатити Постачальнику</w:t>
      </w:r>
      <w:r w:rsidR="00991B9C" w:rsidRPr="00733F9F">
        <w:rPr>
          <w:lang w:val="uk-UA"/>
        </w:rPr>
        <w:t xml:space="preserve"> штрафні санкції зазначені в п.</w:t>
      </w:r>
      <w:r w:rsidRPr="00733F9F">
        <w:rPr>
          <w:lang w:val="uk-UA"/>
        </w:rPr>
        <w:t>12 Комерційної пропозиції, чи іншу фінансову компенсацію за дострокове припинення Договору,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 (небаланс).</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Урахування пільг, субсидій</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Умови комерційної пропозиції не передбачають урахування пільг, субсидій.</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b w:val="0"/>
          <w:lang w:val="uk-UA"/>
        </w:rPr>
      </w:pPr>
      <w:r w:rsidRPr="00733F9F">
        <w:rPr>
          <w:lang w:val="uk-UA"/>
        </w:rPr>
        <w:t xml:space="preserve">Можливість постачання захищеним </w:t>
      </w:r>
      <w:r w:rsidR="006464BC" w:rsidRPr="00733F9F">
        <w:rPr>
          <w:b w:val="0"/>
          <w:lang w:val="uk-UA"/>
        </w:rPr>
        <w:t>Споживач</w:t>
      </w:r>
      <w:r w:rsidRPr="00733F9F">
        <w:rPr>
          <w:lang w:val="uk-UA"/>
        </w:rPr>
        <w:t>ам</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Умови комерційної пропозиції передбачають можливість постачання електричної енергії захищеним </w:t>
      </w:r>
      <w:r w:rsidR="006464BC" w:rsidRPr="00733F9F">
        <w:rPr>
          <w:lang w:val="uk-UA"/>
        </w:rPr>
        <w:t>Споживач</w:t>
      </w:r>
      <w:r w:rsidRPr="00733F9F">
        <w:rPr>
          <w:lang w:val="uk-UA"/>
        </w:rPr>
        <w:t>ам.</w:t>
      </w:r>
    </w:p>
    <w:p w:rsidR="008C1868" w:rsidRPr="00733F9F" w:rsidRDefault="008C1868" w:rsidP="00C759EE">
      <w:pPr>
        <w:pStyle w:val="10"/>
        <w:numPr>
          <w:ilvl w:val="0"/>
          <w:numId w:val="1"/>
        </w:numPr>
        <w:shd w:val="clear" w:color="auto" w:fill="auto"/>
        <w:tabs>
          <w:tab w:val="left" w:pos="426"/>
          <w:tab w:val="left" w:pos="567"/>
        </w:tabs>
        <w:spacing w:before="120" w:after="120" w:line="240" w:lineRule="auto"/>
        <w:ind w:left="426" w:hanging="426"/>
        <w:rPr>
          <w:lang w:val="uk-UA"/>
        </w:rPr>
      </w:pPr>
      <w:r w:rsidRPr="00733F9F">
        <w:rPr>
          <w:lang w:val="uk-UA"/>
        </w:rPr>
        <w:t>Інші умови</w:t>
      </w:r>
      <w:r w:rsidRPr="00733F9F">
        <w:rPr>
          <w:lang w:val="uk-UA"/>
        </w:rPr>
        <w:tab/>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w:t>
      </w:r>
      <w:r w:rsidRPr="00733F9F">
        <w:rPr>
          <w:lang w:val="uk-UA"/>
        </w:rPr>
        <w:lastRenderedPageBreak/>
        <w:t>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8C1868" w:rsidRPr="00733F9F" w:rsidRDefault="006464BC"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Споживач</w:t>
      </w:r>
      <w:r w:rsidR="008C1868" w:rsidRPr="00733F9F">
        <w:rPr>
          <w:lang w:val="uk-UA"/>
        </w:rPr>
        <w:t xml:space="preserve"> повинен не пізніше 10 години 00 хвилин ранку 1 числа місяця, що слідує за розрахунковим, надавати Постачальнику на перевірку фактичні обсяги спожитої електричної енергії в розрахунковому періоді шляхом направлення повідомлення на електронну пошту постачальника.</w:t>
      </w:r>
    </w:p>
    <w:p w:rsidR="008C1868" w:rsidRPr="00733F9F" w:rsidRDefault="008C1868" w:rsidP="00991B9C">
      <w:pPr>
        <w:pStyle w:val="20"/>
        <w:numPr>
          <w:ilvl w:val="1"/>
          <w:numId w:val="1"/>
        </w:numPr>
        <w:shd w:val="clear" w:color="auto" w:fill="auto"/>
        <w:tabs>
          <w:tab w:val="left" w:pos="993"/>
        </w:tabs>
        <w:spacing w:before="120" w:after="120" w:line="240" w:lineRule="auto"/>
        <w:ind w:left="993" w:hanging="567"/>
        <w:jc w:val="both"/>
        <w:rPr>
          <w:lang w:val="uk-UA"/>
        </w:rPr>
      </w:pPr>
      <w:r w:rsidRPr="00733F9F">
        <w:rPr>
          <w:lang w:val="uk-UA"/>
        </w:rPr>
        <w:t xml:space="preserve">Інформування </w:t>
      </w:r>
      <w:r w:rsidR="006464BC" w:rsidRPr="00733F9F">
        <w:rPr>
          <w:lang w:val="uk-UA"/>
        </w:rPr>
        <w:t>Споживач</w:t>
      </w:r>
      <w:r w:rsidRPr="00733F9F">
        <w:rPr>
          <w:lang w:val="uk-UA"/>
        </w:rPr>
        <w:t xml:space="preserve">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іншу інформацію, яка стосується взаємовідносин Сторін або може бути корисною для </w:t>
      </w:r>
      <w:r w:rsidR="006464BC" w:rsidRPr="00733F9F">
        <w:rPr>
          <w:lang w:val="uk-UA"/>
        </w:rPr>
        <w:t>Споживач</w:t>
      </w:r>
      <w:r w:rsidRPr="00733F9F">
        <w:rPr>
          <w:lang w:val="uk-UA"/>
        </w:rPr>
        <w:t>а, може здійснюватися шляхом направлення відповідної інформації:</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lang w:val="uk-UA"/>
        </w:rPr>
        <w:t>•</w:t>
      </w:r>
      <w:r w:rsidRPr="00733F9F">
        <w:rPr>
          <w:lang w:val="uk-UA"/>
        </w:rPr>
        <w:tab/>
      </w:r>
      <w:r w:rsidRPr="00733F9F">
        <w:rPr>
          <w:rFonts w:eastAsia="Calibri"/>
          <w:lang w:val="uk-UA"/>
        </w:rPr>
        <w:t>через особистий кабінет на своєму офіційному сайті у мережі Інтернет,</w:t>
      </w:r>
    </w:p>
    <w:p w:rsidR="008C1868" w:rsidRPr="00733F9F" w:rsidRDefault="008C1868" w:rsidP="00991B9C">
      <w:pPr>
        <w:pStyle w:val="20"/>
        <w:shd w:val="clear" w:color="auto" w:fill="auto"/>
        <w:spacing w:line="240" w:lineRule="auto"/>
        <w:ind w:left="1417" w:hanging="425"/>
        <w:contextualSpacing/>
        <w:jc w:val="both"/>
        <w:rPr>
          <w:rFonts w:eastAsia="Calibri"/>
          <w:lang w:val="uk-UA"/>
        </w:rPr>
      </w:pPr>
      <w:r w:rsidRPr="00733F9F">
        <w:rPr>
          <w:rFonts w:eastAsia="Calibri"/>
          <w:lang w:val="uk-UA"/>
        </w:rPr>
        <w:t>•</w:t>
      </w:r>
      <w:r w:rsidRPr="00733F9F">
        <w:rPr>
          <w:rFonts w:eastAsia="Calibri"/>
          <w:lang w:val="uk-UA"/>
        </w:rPr>
        <w:tab/>
        <w:t>засобами електронного зв'язку на електронну адресу вказану у договорі,</w:t>
      </w:r>
    </w:p>
    <w:p w:rsidR="008C1868" w:rsidRPr="00733F9F" w:rsidRDefault="008C1868" w:rsidP="00991B9C">
      <w:pPr>
        <w:pStyle w:val="20"/>
        <w:shd w:val="clear" w:color="auto" w:fill="auto"/>
        <w:spacing w:line="240" w:lineRule="auto"/>
        <w:ind w:left="1417" w:hanging="425"/>
        <w:contextualSpacing/>
        <w:jc w:val="both"/>
        <w:rPr>
          <w:lang w:val="uk-UA"/>
        </w:rPr>
      </w:pPr>
      <w:r w:rsidRPr="00733F9F">
        <w:rPr>
          <w:rFonts w:eastAsia="Calibri"/>
          <w:lang w:val="uk-UA"/>
        </w:rPr>
        <w:t>•</w:t>
      </w:r>
      <w:r w:rsidRPr="00733F9F">
        <w:rPr>
          <w:rFonts w:eastAsia="Calibri"/>
          <w:lang w:val="uk-UA"/>
        </w:rPr>
        <w:tab/>
        <w:t>СМС-повідомленням</w:t>
      </w:r>
      <w:r w:rsidRPr="00733F9F">
        <w:rPr>
          <w:lang w:val="uk-UA"/>
        </w:rPr>
        <w:t xml:space="preserve"> на номер, який зазначений у договорі, тощо.</w:t>
      </w:r>
    </w:p>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222"/>
      </w:tblGrid>
      <w:tr w:rsidR="006D6823" w:rsidRPr="00733F9F" w:rsidTr="00060800">
        <w:trPr>
          <w:trHeight w:val="86"/>
        </w:trPr>
        <w:tc>
          <w:tcPr>
            <w:tcW w:w="4514" w:type="dxa"/>
            <w:hideMark/>
          </w:tcPr>
          <w:tbl>
            <w:tblPr>
              <w:tblStyle w:val="a5"/>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843"/>
            </w:tblGrid>
            <w:tr w:rsidR="006D6823" w:rsidRPr="003C141A" w:rsidTr="006D6823">
              <w:trPr>
                <w:trHeight w:val="86"/>
              </w:trPr>
              <w:tc>
                <w:tcPr>
                  <w:tcW w:w="4514" w:type="dxa"/>
                  <w:hideMark/>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ПОСТАЧАЛЬНИК:</w:t>
                  </w:r>
                </w:p>
                <w:p w:rsidR="006D6823" w:rsidRPr="003C141A" w:rsidRDefault="006D6823" w:rsidP="006D6823">
                  <w:pPr>
                    <w:spacing w:before="120" w:after="120"/>
                    <w:rPr>
                      <w:rFonts w:ascii="Times New Roman" w:eastAsia="Times New Roman" w:hAnsi="Times New Roman" w:cs="Times New Roman"/>
                      <w:b/>
                      <w:lang w:val="ru-RU"/>
                    </w:rPr>
                  </w:pPr>
                  <w:r w:rsidRPr="003C141A">
                    <w:rPr>
                      <w:rFonts w:ascii="Times New Roman" w:eastAsia="Times New Roman" w:hAnsi="Times New Roman" w:cs="Times New Roman"/>
                      <w:b/>
                      <w:lang w:val="uk-UA"/>
                    </w:rPr>
                    <w:t>КОНЦЕРН «МІСЬКІ ТЕПЛОВІ МЕРЕЖІ»</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69091, Запорізька обл.,</w:t>
                  </w: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kern w:val="2"/>
                      <w:lang w:val="uk-UA" w:eastAsia="uk-UA"/>
                    </w:rPr>
                    <w:t xml:space="preserve">м. Запоріжжя, </w:t>
                  </w:r>
                  <w:proofErr w:type="spellStart"/>
                  <w:r w:rsidRPr="003C141A">
                    <w:rPr>
                      <w:rFonts w:ascii="Times New Roman" w:eastAsia="Calibri" w:hAnsi="Times New Roman" w:cs="Times New Roman"/>
                      <w:kern w:val="2"/>
                      <w:lang w:val="uk-UA" w:eastAsia="uk-UA"/>
                    </w:rPr>
                    <w:t>бул</w:t>
                  </w:r>
                  <w:proofErr w:type="spellEnd"/>
                  <w:r w:rsidRPr="003C141A">
                    <w:rPr>
                      <w:rFonts w:ascii="Times New Roman" w:eastAsia="Calibri" w:hAnsi="Times New Roman" w:cs="Times New Roman"/>
                      <w:kern w:val="2"/>
                      <w:lang w:val="uk-UA" w:eastAsia="uk-UA"/>
                    </w:rPr>
                    <w:t>. Гвардійський, буд. 137</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 xml:space="preserve">п/р зі спеціальним режимом використання: №583139570000026037304042813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300465</w:t>
                  </w:r>
                </w:p>
                <w:p w:rsidR="006D6823" w:rsidRPr="003C141A" w:rsidRDefault="006D6823" w:rsidP="006D6823">
                  <w:pPr>
                    <w:rPr>
                      <w:rFonts w:ascii="Times New Roman" w:eastAsia="Calibri" w:hAnsi="Times New Roman" w:cs="Times New Roman"/>
                      <w:b/>
                      <w:color w:val="FF0000"/>
                      <w:kern w:val="2"/>
                      <w:lang w:val="uk-UA" w:eastAsia="uk-UA"/>
                    </w:rPr>
                  </w:pPr>
                  <w:r w:rsidRPr="003C141A">
                    <w:rPr>
                      <w:rFonts w:ascii="Times New Roman" w:eastAsia="Calibri" w:hAnsi="Times New Roman" w:cs="Times New Roman"/>
                      <w:b/>
                      <w:kern w:val="2"/>
                      <w:lang w:val="uk-UA" w:eastAsia="uk-UA"/>
                    </w:rPr>
                    <w:t>Код ЄДРПОУ: 32121458</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№321214508249</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Телефон/факс: (061) 222-22-22</w:t>
                  </w:r>
                </w:p>
                <w:p w:rsidR="006D6823" w:rsidRPr="003C141A" w:rsidRDefault="006D6823" w:rsidP="006D6823">
                  <w:pPr>
                    <w:jc w:val="both"/>
                    <w:rPr>
                      <w:rFonts w:ascii="Times New Roman" w:eastAsia="Calibri" w:hAnsi="Times New Roman" w:cs="Times New Roman"/>
                      <w:b/>
                      <w:lang w:val="ru-RU"/>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r w:rsidRPr="003C141A">
                    <w:rPr>
                      <w:rFonts w:ascii="Times New Roman" w:eastAsia="Calibri" w:hAnsi="Times New Roman" w:cs="Times New Roman"/>
                    </w:rPr>
                    <w:t>info</w:t>
                  </w:r>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teploseti</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zp</w:t>
                  </w:r>
                  <w:proofErr w:type="spellEnd"/>
                  <w:r w:rsidRPr="003C141A">
                    <w:rPr>
                      <w:rFonts w:ascii="Times New Roman" w:eastAsia="Calibri" w:hAnsi="Times New Roman" w:cs="Times New Roman"/>
                      <w:lang w:val="ru-RU"/>
                    </w:rPr>
                    <w:t>.</w:t>
                  </w:r>
                  <w:proofErr w:type="spellStart"/>
                  <w:r w:rsidRPr="003C141A">
                    <w:rPr>
                      <w:rFonts w:ascii="Times New Roman" w:eastAsia="Calibri" w:hAnsi="Times New Roman" w:cs="Times New Roman"/>
                    </w:rPr>
                    <w:t>ua</w:t>
                  </w:r>
                  <w:proofErr w:type="spellEnd"/>
                </w:p>
                <w:p w:rsidR="006D6823" w:rsidRPr="003C141A" w:rsidRDefault="006D6823" w:rsidP="006D6823">
                  <w:pPr>
                    <w:spacing w:before="120" w:after="120"/>
                    <w:rPr>
                      <w:rFonts w:ascii="Times New Roman" w:eastAsia="Times New Roman" w:hAnsi="Times New Roman" w:cs="Times New Roman"/>
                      <w:b/>
                      <w:lang w:val="ru-RU"/>
                    </w:rPr>
                  </w:pPr>
                </w:p>
              </w:tc>
              <w:tc>
                <w:tcPr>
                  <w:tcW w:w="4843" w:type="dxa"/>
                </w:tcPr>
                <w:p w:rsidR="006D6823" w:rsidRPr="003C141A" w:rsidRDefault="006D6823" w:rsidP="006D6823">
                  <w:pPr>
                    <w:spacing w:before="120" w:after="120"/>
                    <w:rPr>
                      <w:rFonts w:ascii="Times New Roman" w:hAnsi="Times New Roman" w:cs="Times New Roman"/>
                      <w:b/>
                      <w:lang w:val="ru-RU"/>
                    </w:rPr>
                  </w:pPr>
                  <w:r w:rsidRPr="003C141A">
                    <w:rPr>
                      <w:rFonts w:ascii="Times New Roman" w:hAnsi="Times New Roman" w:cs="Times New Roman"/>
                      <w:b/>
                      <w:lang w:val="uk-UA"/>
                    </w:rPr>
                    <w:t>СПОЖИВАЧ:</w:t>
                  </w:r>
                </w:p>
                <w:p w:rsidR="006D6823" w:rsidRPr="003C141A" w:rsidRDefault="006D6823" w:rsidP="006D6823">
                  <w:pPr>
                    <w:spacing w:before="120" w:after="120"/>
                    <w:rPr>
                      <w:rFonts w:ascii="Times New Roman" w:hAnsi="Times New Roman" w:cs="Times New Roman"/>
                      <w:b/>
                      <w:lang w:val="ru-RU"/>
                    </w:rPr>
                  </w:pPr>
                </w:p>
                <w:p w:rsidR="006D6823" w:rsidRPr="003C141A" w:rsidRDefault="006D6823" w:rsidP="006D6823">
                  <w:pPr>
                    <w:rPr>
                      <w:rFonts w:ascii="Times New Roman" w:eastAsia="Calibri" w:hAnsi="Times New Roman" w:cs="Times New Roman"/>
                      <w:b/>
                      <w:kern w:val="2"/>
                      <w:lang w:val="ru-RU" w:eastAsia="uk-UA"/>
                    </w:rPr>
                  </w:pPr>
                </w:p>
                <w:p w:rsidR="006D6823" w:rsidRPr="003C141A" w:rsidRDefault="006D6823" w:rsidP="006D6823">
                  <w:pPr>
                    <w:rPr>
                      <w:rFonts w:ascii="Times New Roman" w:eastAsia="Calibri" w:hAnsi="Times New Roman" w:cs="Times New Roman"/>
                      <w:lang w:val="uk-UA"/>
                    </w:rPr>
                  </w:pPr>
                  <w:r w:rsidRPr="003C141A">
                    <w:rPr>
                      <w:rFonts w:ascii="Times New Roman" w:eastAsia="Calibri" w:hAnsi="Times New Roman" w:cs="Times New Roman"/>
                      <w:b/>
                      <w:kern w:val="2"/>
                      <w:lang w:val="uk-UA" w:eastAsia="uk-UA"/>
                    </w:rPr>
                    <w:t>Адреса:</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kern w:val="2"/>
                      <w:lang w:val="uk-UA" w:eastAsia="uk-UA"/>
                    </w:rPr>
                  </w:pPr>
                  <w:r w:rsidRPr="003C141A">
                    <w:rPr>
                      <w:rFonts w:ascii="Times New Roman" w:eastAsia="Calibri" w:hAnsi="Times New Roman" w:cs="Times New Roman"/>
                      <w:b/>
                      <w:kern w:val="2"/>
                      <w:lang w:val="uk-UA" w:eastAsia="uk-UA"/>
                    </w:rPr>
                    <w:t>п/р:</w:t>
                  </w:r>
                  <w:r w:rsidRPr="003C141A">
                    <w:rPr>
                      <w:rFonts w:ascii="Times New Roman" w:eastAsia="Calibri" w:hAnsi="Times New Roman" w:cs="Times New Roman"/>
                      <w:lang w:val="uk-UA"/>
                    </w:rPr>
                    <w:t xml:space="preserve">   </w:t>
                  </w:r>
                </w:p>
                <w:p w:rsidR="006D6823" w:rsidRPr="003C141A" w:rsidRDefault="006D6823" w:rsidP="006D6823">
                  <w:pPr>
                    <w:rPr>
                      <w:rFonts w:ascii="Times New Roman" w:eastAsia="Calibri" w:hAnsi="Times New Roman" w:cs="Times New Roman"/>
                      <w:kern w:val="2"/>
                      <w:lang w:val="ru-RU" w:eastAsia="uk-UA"/>
                    </w:rPr>
                  </w:pPr>
                  <w:r w:rsidRPr="003C141A">
                    <w:rPr>
                      <w:rFonts w:ascii="Times New Roman" w:eastAsia="Calibri" w:hAnsi="Times New Roman" w:cs="Times New Roman"/>
                      <w:b/>
                      <w:kern w:val="2"/>
                      <w:lang w:val="uk-UA" w:eastAsia="uk-UA"/>
                    </w:rPr>
                    <w:t>Код банку (МФО):</w:t>
                  </w:r>
                  <w:r w:rsidRPr="003C141A">
                    <w:rPr>
                      <w:rFonts w:ascii="Times New Roman" w:eastAsia="Calibri" w:hAnsi="Times New Roman" w:cs="Times New Roman"/>
                      <w:kern w:val="2"/>
                      <w:lang w:val="uk-UA" w:eastAsia="uk-UA"/>
                    </w:rPr>
                    <w:t xml:space="preserve"> </w:t>
                  </w:r>
                </w:p>
                <w:p w:rsidR="006D6823" w:rsidRPr="003C141A" w:rsidRDefault="006D6823" w:rsidP="006D6823">
                  <w:pPr>
                    <w:rPr>
                      <w:rFonts w:ascii="Times New Roman" w:eastAsia="Calibri" w:hAnsi="Times New Roman" w:cs="Times New Roman"/>
                      <w:color w:val="FF0000"/>
                      <w:kern w:val="2"/>
                      <w:lang w:val="ru-RU" w:eastAsia="uk-UA"/>
                    </w:rPr>
                  </w:pPr>
                  <w:r w:rsidRPr="003C141A">
                    <w:rPr>
                      <w:rFonts w:ascii="Times New Roman" w:eastAsia="Calibri" w:hAnsi="Times New Roman" w:cs="Times New Roman"/>
                      <w:b/>
                      <w:kern w:val="2"/>
                      <w:lang w:val="uk-UA" w:eastAsia="uk-UA"/>
                    </w:rPr>
                    <w:t>Код ЄДРПОУ:</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Інд. податковий №</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lang w:val="uk-UA"/>
                    </w:rPr>
                  </w:pPr>
                  <w:r w:rsidRPr="003C141A">
                    <w:rPr>
                      <w:rFonts w:ascii="Times New Roman" w:eastAsia="Calibri" w:hAnsi="Times New Roman" w:cs="Times New Roman"/>
                      <w:b/>
                      <w:lang w:val="uk-UA"/>
                    </w:rPr>
                    <w:t xml:space="preserve">Телефон/факс: </w:t>
                  </w: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b/>
                      <w:lang w:val="uk-UA"/>
                    </w:rPr>
                    <w:t>E-</w:t>
                  </w:r>
                  <w:proofErr w:type="spellStart"/>
                  <w:r w:rsidRPr="003C141A">
                    <w:rPr>
                      <w:rFonts w:ascii="Times New Roman" w:eastAsia="Calibri" w:hAnsi="Times New Roman" w:cs="Times New Roman"/>
                      <w:b/>
                      <w:lang w:val="uk-UA"/>
                    </w:rPr>
                    <w:t>mail</w:t>
                  </w:r>
                  <w:proofErr w:type="spellEnd"/>
                  <w:r w:rsidRPr="003C141A">
                    <w:rPr>
                      <w:rFonts w:ascii="Times New Roman" w:eastAsia="Calibri" w:hAnsi="Times New Roman" w:cs="Times New Roman"/>
                      <w:b/>
                      <w:lang w:val="uk-UA"/>
                    </w:rPr>
                    <w:t>:</w:t>
                  </w:r>
                  <w:r w:rsidRPr="003C141A">
                    <w:rPr>
                      <w:rFonts w:ascii="Times New Roman" w:eastAsia="Calibri" w:hAnsi="Times New Roman" w:cs="Times New Roman"/>
                      <w:lang w:val="uk-UA"/>
                    </w:rPr>
                    <w:t xml:space="preserve"> </w:t>
                  </w:r>
                </w:p>
                <w:p w:rsidR="006D6823" w:rsidRPr="003C141A" w:rsidRDefault="006D6823" w:rsidP="006D6823">
                  <w:pPr>
                    <w:jc w:val="both"/>
                    <w:rPr>
                      <w:rFonts w:ascii="Times New Roman" w:eastAsia="Calibri" w:hAnsi="Times New Roman" w:cs="Times New Roman"/>
                      <w:b/>
                    </w:rPr>
                  </w:pPr>
                </w:p>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spacing w:before="120" w:after="120"/>
                    <w:rPr>
                      <w:rFonts w:ascii="Times New Roman" w:eastAsia="Times New Roman" w:hAnsi="Times New Roman" w:cs="Times New Roman"/>
                      <w:b/>
                    </w:rPr>
                  </w:pPr>
                </w:p>
              </w:tc>
            </w:tr>
            <w:tr w:rsidR="006D6823" w:rsidRPr="003C141A" w:rsidTr="006D6823">
              <w:trPr>
                <w:trHeight w:val="576"/>
              </w:trPr>
              <w:tc>
                <w:tcPr>
                  <w:tcW w:w="4514" w:type="dxa"/>
                </w:tcPr>
                <w:p w:rsidR="006D6823" w:rsidRPr="003C141A" w:rsidRDefault="006D6823" w:rsidP="006D6823">
                  <w:pPr>
                    <w:jc w:val="both"/>
                    <w:rPr>
                      <w:rFonts w:ascii="Times New Roman" w:eastAsia="Calibri" w:hAnsi="Times New Roman" w:cs="Times New Roman"/>
                      <w:b/>
                      <w:lang w:val="uk-UA"/>
                    </w:rPr>
                  </w:pPr>
                </w:p>
                <w:p w:rsidR="006D6823" w:rsidRPr="003C141A" w:rsidRDefault="006D6823" w:rsidP="006D6823">
                  <w:pPr>
                    <w:jc w:val="both"/>
                    <w:rPr>
                      <w:rFonts w:ascii="Times New Roman"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c>
                <w:tcPr>
                  <w:tcW w:w="4843" w:type="dxa"/>
                </w:tcPr>
                <w:p w:rsidR="006D6823" w:rsidRPr="003C141A" w:rsidRDefault="006D6823" w:rsidP="006D6823">
                  <w:pPr>
                    <w:jc w:val="both"/>
                    <w:rPr>
                      <w:rFonts w:ascii="Times New Roman" w:eastAsia="Calibri" w:hAnsi="Times New Roman" w:cs="Times New Roman"/>
                      <w:lang w:val="uk-UA"/>
                    </w:rPr>
                  </w:pPr>
                </w:p>
                <w:p w:rsidR="006D6823" w:rsidRPr="003C141A" w:rsidRDefault="006D6823" w:rsidP="006D6823">
                  <w:pPr>
                    <w:jc w:val="both"/>
                    <w:rPr>
                      <w:rFonts w:ascii="Times New Roman" w:eastAsia="Calibri" w:hAnsi="Times New Roman" w:cs="Times New Roman"/>
                      <w:b/>
                      <w:lang w:val="uk-UA"/>
                    </w:rPr>
                  </w:pPr>
                  <w:r w:rsidRPr="003C141A">
                    <w:rPr>
                      <w:rFonts w:ascii="Times New Roman" w:eastAsia="Calibri" w:hAnsi="Times New Roman" w:cs="Times New Roman"/>
                      <w:lang w:val="uk-UA"/>
                    </w:rPr>
                    <w:t>___________________</w:t>
                  </w:r>
                  <w:r w:rsidRPr="003C141A">
                    <w:rPr>
                      <w:rFonts w:ascii="Times New Roman" w:eastAsia="Calibri" w:hAnsi="Times New Roman" w:cs="Times New Roman"/>
                      <w:b/>
                      <w:lang w:val="uk-UA"/>
                    </w:rPr>
                    <w:t xml:space="preserve">  </w:t>
                  </w:r>
                </w:p>
                <w:p w:rsidR="006D6823" w:rsidRPr="003C141A" w:rsidRDefault="006D6823" w:rsidP="006D6823">
                  <w:pPr>
                    <w:jc w:val="both"/>
                    <w:rPr>
                      <w:rFonts w:ascii="Times New Roman" w:eastAsia="Calibri" w:hAnsi="Times New Roman" w:cs="Times New Roman"/>
                      <w:lang w:val="uk-UA"/>
                    </w:rPr>
                  </w:pPr>
                  <w:proofErr w:type="spellStart"/>
                  <w:r w:rsidRPr="003C141A">
                    <w:rPr>
                      <w:rFonts w:ascii="Times New Roman" w:eastAsia="Calibri" w:hAnsi="Times New Roman" w:cs="Times New Roman"/>
                      <w:lang w:val="uk-UA"/>
                    </w:rPr>
                    <w:t>м.п</w:t>
                  </w:r>
                  <w:proofErr w:type="spellEnd"/>
                  <w:r w:rsidRPr="003C141A">
                    <w:rPr>
                      <w:rFonts w:ascii="Times New Roman" w:eastAsia="Calibri" w:hAnsi="Times New Roman" w:cs="Times New Roman"/>
                      <w:lang w:val="uk-UA"/>
                    </w:rPr>
                    <w:t>.</w:t>
                  </w:r>
                </w:p>
              </w:tc>
            </w:tr>
          </w:tbl>
          <w:p w:rsidR="006D6823" w:rsidRDefault="006D6823"/>
        </w:tc>
        <w:tc>
          <w:tcPr>
            <w:tcW w:w="4843" w:type="dxa"/>
          </w:tcPr>
          <w:p w:rsidR="006D6823" w:rsidRPr="00733F9F" w:rsidRDefault="006D6823" w:rsidP="00C759EE">
            <w:pPr>
              <w:spacing w:before="120" w:after="120"/>
              <w:rPr>
                <w:rFonts w:ascii="Times New Roman" w:eastAsia="Times New Roman" w:hAnsi="Times New Roman" w:cs="Times New Roman"/>
                <w:b/>
                <w:lang w:val="uk-UA"/>
              </w:rPr>
            </w:pPr>
          </w:p>
        </w:tc>
      </w:tr>
      <w:tr w:rsidR="006D6823" w:rsidRPr="00733F9F" w:rsidTr="00060800">
        <w:trPr>
          <w:trHeight w:val="576"/>
        </w:trPr>
        <w:tc>
          <w:tcPr>
            <w:tcW w:w="4514" w:type="dxa"/>
          </w:tcPr>
          <w:p w:rsidR="006D6823" w:rsidRDefault="006D6823"/>
        </w:tc>
        <w:tc>
          <w:tcPr>
            <w:tcW w:w="4843" w:type="dxa"/>
          </w:tcPr>
          <w:p w:rsidR="006D6823" w:rsidRPr="00733F9F" w:rsidRDefault="006D6823" w:rsidP="001260B0">
            <w:pPr>
              <w:jc w:val="both"/>
              <w:rPr>
                <w:rFonts w:ascii="Times New Roman" w:eastAsia="Calibri" w:hAnsi="Times New Roman" w:cs="Times New Roman"/>
                <w:lang w:val="uk-UA"/>
              </w:rPr>
            </w:pPr>
          </w:p>
        </w:tc>
      </w:tr>
      <w:tr w:rsidR="00060800" w:rsidRPr="00733F9F" w:rsidTr="00060800">
        <w:trPr>
          <w:trHeight w:val="70"/>
        </w:trPr>
        <w:tc>
          <w:tcPr>
            <w:tcW w:w="4514" w:type="dxa"/>
          </w:tcPr>
          <w:p w:rsidR="00060800" w:rsidRPr="00733F9F" w:rsidRDefault="00060800" w:rsidP="006464BC">
            <w:pPr>
              <w:spacing w:before="120" w:after="120"/>
              <w:rPr>
                <w:rFonts w:ascii="Times New Roman" w:eastAsia="Times New Roman" w:hAnsi="Times New Roman" w:cs="Times New Roman"/>
                <w:b/>
                <w:lang w:val="uk-UA"/>
              </w:rPr>
            </w:pPr>
          </w:p>
        </w:tc>
        <w:tc>
          <w:tcPr>
            <w:tcW w:w="4843" w:type="dxa"/>
          </w:tcPr>
          <w:p w:rsidR="00060800" w:rsidRPr="00733F9F" w:rsidRDefault="00060800" w:rsidP="006464BC">
            <w:pPr>
              <w:spacing w:before="120" w:after="120"/>
              <w:rPr>
                <w:rFonts w:ascii="Times New Roman" w:eastAsia="Times New Roman" w:hAnsi="Times New Roman" w:cs="Times New Roman"/>
                <w:b/>
                <w:lang w:val="uk-UA"/>
              </w:rPr>
            </w:pPr>
          </w:p>
        </w:tc>
      </w:tr>
    </w:tbl>
    <w:p w:rsidR="00BE4C37" w:rsidRPr="00733F9F" w:rsidRDefault="00BE4C37" w:rsidP="006464BC">
      <w:pPr>
        <w:spacing w:before="120" w:after="120" w:line="240" w:lineRule="auto"/>
        <w:jc w:val="both"/>
        <w:rPr>
          <w:rFonts w:ascii="Times New Roman" w:hAnsi="Times New Roman" w:cs="Times New Roman"/>
          <w:lang w:val="uk-UA"/>
        </w:rPr>
      </w:pPr>
    </w:p>
    <w:sectPr w:rsidR="00BE4C37" w:rsidRPr="00733F9F" w:rsidSect="00DE6AA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50"/>
    <w:multiLevelType w:val="hybridMultilevel"/>
    <w:tmpl w:val="9E7A20E6"/>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089913EA"/>
    <w:multiLevelType w:val="multilevel"/>
    <w:tmpl w:val="2856C53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8953797"/>
    <w:multiLevelType w:val="multilevel"/>
    <w:tmpl w:val="978AEE8E"/>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ahoma" w:eastAsia="Times New Roman" w:hAnsi="Tahoma" w:cs="Tahoma"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A5C9A"/>
    <w:multiLevelType w:val="hybridMultilevel"/>
    <w:tmpl w:val="90A0DE7E"/>
    <w:lvl w:ilvl="0" w:tplc="04190001">
      <w:start w:val="1"/>
      <w:numFmt w:val="bullet"/>
      <w:lvlText w:val=""/>
      <w:lvlJc w:val="left"/>
      <w:pPr>
        <w:ind w:left="260" w:hanging="360"/>
      </w:pPr>
      <w:rPr>
        <w:rFonts w:ascii="Symbol" w:hAnsi="Symbol" w:hint="default"/>
      </w:rPr>
    </w:lvl>
    <w:lvl w:ilvl="1" w:tplc="04190003" w:tentative="1">
      <w:start w:val="1"/>
      <w:numFmt w:val="bullet"/>
      <w:lvlText w:val="o"/>
      <w:lvlJc w:val="left"/>
      <w:pPr>
        <w:ind w:left="980" w:hanging="360"/>
      </w:pPr>
      <w:rPr>
        <w:rFonts w:ascii="Courier New" w:hAnsi="Courier New" w:cs="Courier New" w:hint="default"/>
      </w:rPr>
    </w:lvl>
    <w:lvl w:ilvl="2" w:tplc="04190005" w:tentative="1">
      <w:start w:val="1"/>
      <w:numFmt w:val="bullet"/>
      <w:lvlText w:val=""/>
      <w:lvlJc w:val="left"/>
      <w:pPr>
        <w:ind w:left="1700" w:hanging="360"/>
      </w:pPr>
      <w:rPr>
        <w:rFonts w:ascii="Wingdings" w:hAnsi="Wingdings" w:hint="default"/>
      </w:rPr>
    </w:lvl>
    <w:lvl w:ilvl="3" w:tplc="04190001" w:tentative="1">
      <w:start w:val="1"/>
      <w:numFmt w:val="bullet"/>
      <w:lvlText w:val=""/>
      <w:lvlJc w:val="left"/>
      <w:pPr>
        <w:ind w:left="2420" w:hanging="360"/>
      </w:pPr>
      <w:rPr>
        <w:rFonts w:ascii="Symbol" w:hAnsi="Symbol" w:hint="default"/>
      </w:rPr>
    </w:lvl>
    <w:lvl w:ilvl="4" w:tplc="04190003" w:tentative="1">
      <w:start w:val="1"/>
      <w:numFmt w:val="bullet"/>
      <w:lvlText w:val="o"/>
      <w:lvlJc w:val="left"/>
      <w:pPr>
        <w:ind w:left="3140" w:hanging="360"/>
      </w:pPr>
      <w:rPr>
        <w:rFonts w:ascii="Courier New" w:hAnsi="Courier New" w:cs="Courier New" w:hint="default"/>
      </w:rPr>
    </w:lvl>
    <w:lvl w:ilvl="5" w:tplc="04190005" w:tentative="1">
      <w:start w:val="1"/>
      <w:numFmt w:val="bullet"/>
      <w:lvlText w:val=""/>
      <w:lvlJc w:val="left"/>
      <w:pPr>
        <w:ind w:left="3860" w:hanging="360"/>
      </w:pPr>
      <w:rPr>
        <w:rFonts w:ascii="Wingdings" w:hAnsi="Wingdings" w:hint="default"/>
      </w:rPr>
    </w:lvl>
    <w:lvl w:ilvl="6" w:tplc="04190001" w:tentative="1">
      <w:start w:val="1"/>
      <w:numFmt w:val="bullet"/>
      <w:lvlText w:val=""/>
      <w:lvlJc w:val="left"/>
      <w:pPr>
        <w:ind w:left="4580" w:hanging="360"/>
      </w:pPr>
      <w:rPr>
        <w:rFonts w:ascii="Symbol" w:hAnsi="Symbol" w:hint="default"/>
      </w:rPr>
    </w:lvl>
    <w:lvl w:ilvl="7" w:tplc="04190003" w:tentative="1">
      <w:start w:val="1"/>
      <w:numFmt w:val="bullet"/>
      <w:lvlText w:val="o"/>
      <w:lvlJc w:val="left"/>
      <w:pPr>
        <w:ind w:left="5300" w:hanging="360"/>
      </w:pPr>
      <w:rPr>
        <w:rFonts w:ascii="Courier New" w:hAnsi="Courier New" w:cs="Courier New" w:hint="default"/>
      </w:rPr>
    </w:lvl>
    <w:lvl w:ilvl="8" w:tplc="04190005" w:tentative="1">
      <w:start w:val="1"/>
      <w:numFmt w:val="bullet"/>
      <w:lvlText w:val=""/>
      <w:lvlJc w:val="left"/>
      <w:pPr>
        <w:ind w:left="6020" w:hanging="360"/>
      </w:pPr>
      <w:rPr>
        <w:rFonts w:ascii="Wingdings" w:hAnsi="Wingdings" w:hint="default"/>
      </w:rPr>
    </w:lvl>
  </w:abstractNum>
  <w:abstractNum w:abstractNumId="4">
    <w:nsid w:val="19324213"/>
    <w:multiLevelType w:val="hybridMultilevel"/>
    <w:tmpl w:val="5FFA55E4"/>
    <w:lvl w:ilvl="0" w:tplc="67CC5AAE">
      <w:start w:val="5"/>
      <w:numFmt w:val="bullet"/>
      <w:lvlText w:val="-"/>
      <w:lvlJc w:val="left"/>
      <w:pPr>
        <w:ind w:left="502" w:hanging="360"/>
      </w:pPr>
      <w:rPr>
        <w:rFonts w:ascii="Calibri" w:eastAsia="Calibr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9B975F2"/>
    <w:multiLevelType w:val="multilevel"/>
    <w:tmpl w:val="20C6C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B5E65"/>
    <w:multiLevelType w:val="multilevel"/>
    <w:tmpl w:val="46581DD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323A2"/>
    <w:multiLevelType w:val="hybridMultilevel"/>
    <w:tmpl w:val="92FC4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E8294D"/>
    <w:multiLevelType w:val="multilevel"/>
    <w:tmpl w:val="64AC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D546D"/>
    <w:multiLevelType w:val="hybridMultilevel"/>
    <w:tmpl w:val="31E2000E"/>
    <w:lvl w:ilvl="0" w:tplc="04190001">
      <w:start w:val="1"/>
      <w:numFmt w:val="bullet"/>
      <w:lvlText w:val=""/>
      <w:lvlJc w:val="left"/>
      <w:pPr>
        <w:ind w:left="1712" w:hanging="360"/>
      </w:pPr>
      <w:rPr>
        <w:rFonts w:ascii="Symbol" w:hAnsi="Symbol" w:hint="default"/>
      </w:rPr>
    </w:lvl>
    <w:lvl w:ilvl="1" w:tplc="04190001">
      <w:start w:val="1"/>
      <w:numFmt w:val="bullet"/>
      <w:lvlText w:val=""/>
      <w:lvlJc w:val="left"/>
      <w:pPr>
        <w:ind w:left="2432" w:hanging="360"/>
      </w:pPr>
      <w:rPr>
        <w:rFonts w:ascii="Symbol" w:hAnsi="Symbol"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5C8369E2"/>
    <w:multiLevelType w:val="hybridMultilevel"/>
    <w:tmpl w:val="95322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A10D88"/>
    <w:multiLevelType w:val="multilevel"/>
    <w:tmpl w:val="A5DED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6B014A"/>
    <w:multiLevelType w:val="multilevel"/>
    <w:tmpl w:val="64AC8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11AB9"/>
    <w:multiLevelType w:val="hybridMultilevel"/>
    <w:tmpl w:val="1CB82CA8"/>
    <w:lvl w:ilvl="0" w:tplc="0419000F">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D54D22"/>
    <w:multiLevelType w:val="multilevel"/>
    <w:tmpl w:val="88AEE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073C32"/>
    <w:multiLevelType w:val="hybridMultilevel"/>
    <w:tmpl w:val="CDB06428"/>
    <w:lvl w:ilvl="0" w:tplc="449A345A">
      <w:start w:val="5"/>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A1E2CFD"/>
    <w:multiLevelType w:val="hybridMultilevel"/>
    <w:tmpl w:val="40C4FC00"/>
    <w:lvl w:ilvl="0" w:tplc="04190001">
      <w:start w:val="1"/>
      <w:numFmt w:val="bullet"/>
      <w:lvlText w:val=""/>
      <w:lvlJc w:val="left"/>
      <w:pPr>
        <w:ind w:left="720" w:hanging="360"/>
      </w:pPr>
      <w:rPr>
        <w:rFonts w:ascii="Symbol" w:hAnsi="Symbol" w:hint="default"/>
      </w:rPr>
    </w:lvl>
    <w:lvl w:ilvl="1" w:tplc="2AFEE078">
      <w:start w:val="3"/>
      <w:numFmt w:val="bullet"/>
      <w:lvlText w:val="-"/>
      <w:lvlJc w:val="left"/>
      <w:pPr>
        <w:ind w:left="1500" w:hanging="42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10"/>
  </w:num>
  <w:num w:numId="11">
    <w:abstractNumId w:val="10"/>
  </w:num>
  <w:num w:numId="12">
    <w:abstractNumId w:val="16"/>
  </w:num>
  <w:num w:numId="13">
    <w:abstractNumId w:val="3"/>
  </w:num>
  <w:num w:numId="14">
    <w:abstractNumId w:val="1"/>
  </w:num>
  <w:num w:numId="15">
    <w:abstractNumId w:val="15"/>
  </w:num>
  <w:num w:numId="16">
    <w:abstractNumId w:val="4"/>
  </w:num>
  <w:num w:numId="17">
    <w:abstractNumId w:val="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B"/>
    <w:rsid w:val="00024019"/>
    <w:rsid w:val="00060800"/>
    <w:rsid w:val="0006254C"/>
    <w:rsid w:val="00093BDD"/>
    <w:rsid w:val="00096FA4"/>
    <w:rsid w:val="000A4066"/>
    <w:rsid w:val="000C5A29"/>
    <w:rsid w:val="000D64F4"/>
    <w:rsid w:val="00123DF8"/>
    <w:rsid w:val="00124A75"/>
    <w:rsid w:val="001260B0"/>
    <w:rsid w:val="00152D73"/>
    <w:rsid w:val="00165B08"/>
    <w:rsid w:val="001C7B6D"/>
    <w:rsid w:val="001D4820"/>
    <w:rsid w:val="001F1064"/>
    <w:rsid w:val="001F46B2"/>
    <w:rsid w:val="00234079"/>
    <w:rsid w:val="00247E14"/>
    <w:rsid w:val="00266C39"/>
    <w:rsid w:val="00277888"/>
    <w:rsid w:val="002A7629"/>
    <w:rsid w:val="002E2CA2"/>
    <w:rsid w:val="002F0358"/>
    <w:rsid w:val="0030333C"/>
    <w:rsid w:val="003349F4"/>
    <w:rsid w:val="003779F2"/>
    <w:rsid w:val="003D3D99"/>
    <w:rsid w:val="003E2F43"/>
    <w:rsid w:val="003E32D8"/>
    <w:rsid w:val="00413EE7"/>
    <w:rsid w:val="00451763"/>
    <w:rsid w:val="00472B71"/>
    <w:rsid w:val="004A645F"/>
    <w:rsid w:val="004C09AB"/>
    <w:rsid w:val="00535BDB"/>
    <w:rsid w:val="005675D2"/>
    <w:rsid w:val="00571473"/>
    <w:rsid w:val="005741DA"/>
    <w:rsid w:val="005D6316"/>
    <w:rsid w:val="005E05F5"/>
    <w:rsid w:val="00613DBA"/>
    <w:rsid w:val="0062654A"/>
    <w:rsid w:val="00635A2B"/>
    <w:rsid w:val="006464BC"/>
    <w:rsid w:val="00647A4A"/>
    <w:rsid w:val="006625AD"/>
    <w:rsid w:val="00673DC3"/>
    <w:rsid w:val="006D6823"/>
    <w:rsid w:val="006F38C2"/>
    <w:rsid w:val="0071503F"/>
    <w:rsid w:val="0073125A"/>
    <w:rsid w:val="00733F9F"/>
    <w:rsid w:val="007534E4"/>
    <w:rsid w:val="00792456"/>
    <w:rsid w:val="007C0D8B"/>
    <w:rsid w:val="00810CE8"/>
    <w:rsid w:val="00817968"/>
    <w:rsid w:val="0082195A"/>
    <w:rsid w:val="00880F92"/>
    <w:rsid w:val="008B3B13"/>
    <w:rsid w:val="008C1868"/>
    <w:rsid w:val="009132E7"/>
    <w:rsid w:val="00925CF9"/>
    <w:rsid w:val="00934BDC"/>
    <w:rsid w:val="00991B9C"/>
    <w:rsid w:val="009C3A16"/>
    <w:rsid w:val="009D279E"/>
    <w:rsid w:val="009E182B"/>
    <w:rsid w:val="00A3361A"/>
    <w:rsid w:val="00A90F46"/>
    <w:rsid w:val="00AA47E2"/>
    <w:rsid w:val="00AF740B"/>
    <w:rsid w:val="00B1719A"/>
    <w:rsid w:val="00B23516"/>
    <w:rsid w:val="00B44A5B"/>
    <w:rsid w:val="00B619C2"/>
    <w:rsid w:val="00B80FDD"/>
    <w:rsid w:val="00BA1F8F"/>
    <w:rsid w:val="00BE4C37"/>
    <w:rsid w:val="00BF29EC"/>
    <w:rsid w:val="00C10B28"/>
    <w:rsid w:val="00C1769C"/>
    <w:rsid w:val="00C759EE"/>
    <w:rsid w:val="00C765F2"/>
    <w:rsid w:val="00C806C5"/>
    <w:rsid w:val="00CD2C28"/>
    <w:rsid w:val="00D23F5E"/>
    <w:rsid w:val="00D35FC4"/>
    <w:rsid w:val="00D44CA0"/>
    <w:rsid w:val="00D62215"/>
    <w:rsid w:val="00DB2FE9"/>
    <w:rsid w:val="00DC4551"/>
    <w:rsid w:val="00DE0969"/>
    <w:rsid w:val="00DE6AAB"/>
    <w:rsid w:val="00DF1601"/>
    <w:rsid w:val="00E00154"/>
    <w:rsid w:val="00E02D16"/>
    <w:rsid w:val="00E03299"/>
    <w:rsid w:val="00E30C03"/>
    <w:rsid w:val="00E32B2E"/>
    <w:rsid w:val="00E558AA"/>
    <w:rsid w:val="00E64595"/>
    <w:rsid w:val="00E82145"/>
    <w:rsid w:val="00E96D8C"/>
    <w:rsid w:val="00EC1E39"/>
    <w:rsid w:val="00ED2863"/>
    <w:rsid w:val="00EF5803"/>
    <w:rsid w:val="00F963BE"/>
    <w:rsid w:val="00F96E0C"/>
    <w:rsid w:val="00FC29E3"/>
    <w:rsid w:val="00FC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0F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80F92"/>
    <w:pPr>
      <w:widowControl w:val="0"/>
      <w:shd w:val="clear" w:color="auto" w:fill="FFFFFF"/>
      <w:spacing w:after="0" w:line="274" w:lineRule="exact"/>
      <w:ind w:hanging="460"/>
    </w:pPr>
    <w:rPr>
      <w:rFonts w:ascii="Times New Roman" w:eastAsia="Times New Roman" w:hAnsi="Times New Roman" w:cs="Times New Roman"/>
    </w:rPr>
  </w:style>
  <w:style w:type="character" w:customStyle="1" w:styleId="21">
    <w:name w:val="Основной текст (2) + Полужирный"/>
    <w:basedOn w:val="2"/>
    <w:rsid w:val="00880F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
    <w:name w:val="Заголовок №1_"/>
    <w:basedOn w:val="a0"/>
    <w:link w:val="10"/>
    <w:rsid w:val="00880F92"/>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Georgia95pt">
    <w:name w:val="Основной текст (2) + Georgia;9;5 pt;Полужирный"/>
    <w:basedOn w:val="2"/>
    <w:rsid w:val="00880F92"/>
    <w:rPr>
      <w:rFonts w:ascii="Georgia" w:eastAsia="Georgia" w:hAnsi="Georgia" w:cs="Georgia"/>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3">
    <w:name w:val="Основной текст (3)_"/>
    <w:basedOn w:val="a0"/>
    <w:link w:val="30"/>
    <w:rsid w:val="00880F92"/>
    <w:rPr>
      <w:rFonts w:ascii="Times New Roman" w:eastAsia="Times New Roman" w:hAnsi="Times New Roman" w:cs="Times New Roman"/>
      <w:b/>
      <w:bCs/>
      <w:shd w:val="clear" w:color="auto" w:fill="FFFFFF"/>
    </w:rPr>
  </w:style>
  <w:style w:type="character" w:customStyle="1" w:styleId="3Georgia95pt">
    <w:name w:val="Основной текст (3) + Georgia;9;5 pt"/>
    <w:basedOn w:val="3"/>
    <w:rsid w:val="00880F92"/>
    <w:rPr>
      <w:rFonts w:ascii="Georgia" w:eastAsia="Georgia" w:hAnsi="Georgia" w:cs="Georgia"/>
      <w:b/>
      <w:bCs/>
      <w:color w:val="000000"/>
      <w:spacing w:val="0"/>
      <w:w w:val="100"/>
      <w:position w:val="0"/>
      <w:sz w:val="19"/>
      <w:szCs w:val="19"/>
      <w:shd w:val="clear" w:color="auto" w:fill="FFFFFF"/>
      <w:lang w:val="uk-UA" w:eastAsia="uk-UA" w:bidi="uk-UA"/>
    </w:rPr>
  </w:style>
  <w:style w:type="character" w:customStyle="1" w:styleId="31">
    <w:name w:val="Основной текст (3) + Не полужирный"/>
    <w:basedOn w:val="3"/>
    <w:rsid w:val="00880F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 Курсив"/>
    <w:basedOn w:val="2"/>
    <w:rsid w:val="00880F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10">
    <w:name w:val="Заголовок №1"/>
    <w:basedOn w:val="a"/>
    <w:link w:val="1"/>
    <w:rsid w:val="00880F92"/>
    <w:pPr>
      <w:widowControl w:val="0"/>
      <w:shd w:val="clear" w:color="auto" w:fill="FFFFFF"/>
      <w:spacing w:before="360" w:after="0" w:line="293" w:lineRule="exact"/>
      <w:ind w:hanging="1380"/>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880F92"/>
    <w:pPr>
      <w:widowControl w:val="0"/>
      <w:shd w:val="clear" w:color="auto" w:fill="FFFFFF"/>
      <w:spacing w:after="240" w:line="298" w:lineRule="exact"/>
      <w:jc w:val="center"/>
    </w:pPr>
    <w:rPr>
      <w:rFonts w:ascii="Times New Roman" w:eastAsia="Times New Roman" w:hAnsi="Times New Roman" w:cs="Times New Roman"/>
      <w:b/>
      <w:bCs/>
    </w:rPr>
  </w:style>
  <w:style w:type="paragraph" w:styleId="a3">
    <w:name w:val="List Paragraph"/>
    <w:basedOn w:val="a"/>
    <w:uiPriority w:val="99"/>
    <w:qFormat/>
    <w:rsid w:val="0071503F"/>
    <w:pPr>
      <w:ind w:left="720"/>
      <w:contextualSpacing/>
    </w:pPr>
  </w:style>
  <w:style w:type="character" w:customStyle="1" w:styleId="28">
    <w:name w:val="Основной текст (2) + 8"/>
    <w:aliases w:val="5 pt,Малые прописные"/>
    <w:basedOn w:val="a0"/>
    <w:rsid w:val="008C1868"/>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2">
    <w:name w:val="Обычный1"/>
    <w:rsid w:val="008C1868"/>
    <w:pPr>
      <w:spacing w:after="0" w:line="240" w:lineRule="auto"/>
    </w:pPr>
    <w:rPr>
      <w:rFonts w:ascii="Times New Roman" w:eastAsia="Times New Roman" w:hAnsi="Times New Roman" w:cs="Times New Roman"/>
      <w:sz w:val="20"/>
      <w:szCs w:val="20"/>
      <w:lang w:val="uk-UA" w:eastAsia="uk-UA"/>
    </w:rPr>
  </w:style>
  <w:style w:type="table" w:customStyle="1" w:styleId="13">
    <w:name w:val="Сетка таблицы1"/>
    <w:basedOn w:val="a1"/>
    <w:uiPriority w:val="59"/>
    <w:rsid w:val="00E00154"/>
    <w:pPr>
      <w:spacing w:after="0" w:line="240" w:lineRule="auto"/>
    </w:pPr>
    <w:rPr>
      <w:rFonts w:ascii="Calibri" w:eastAsia="Calibri" w:hAnsi="Calibri" w:cs="Calibri"/>
    </w:rPr>
    <w:tblPr>
      <w:tblInd w:w="0" w:type="dxa"/>
      <w:tblBorders>
        <w:insideH w:val="single" w:sz="4" w:space="0" w:color="000000"/>
        <w:insideV w:val="single" w:sz="4" w:space="0" w:color="000000"/>
      </w:tblBorders>
      <w:tblCellMar>
        <w:top w:w="0" w:type="dxa"/>
        <w:left w:w="0" w:type="dxa"/>
        <w:bottom w:w="0" w:type="dxa"/>
        <w:right w:w="0" w:type="dxa"/>
      </w:tblCellMar>
    </w:tblPr>
  </w:style>
  <w:style w:type="character" w:styleId="a4">
    <w:name w:val="Hyperlink"/>
    <w:basedOn w:val="a0"/>
    <w:uiPriority w:val="99"/>
    <w:unhideWhenUsed/>
    <w:rsid w:val="002F0358"/>
    <w:rPr>
      <w:color w:val="0000FF"/>
      <w:u w:val="single"/>
    </w:rPr>
  </w:style>
  <w:style w:type="paragraph" w:customStyle="1" w:styleId="Style1">
    <w:name w:val="Style1"/>
    <w:basedOn w:val="a"/>
    <w:uiPriority w:val="99"/>
    <w:rsid w:val="00C806C5"/>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C806C5"/>
    <w:rPr>
      <w:rFonts w:ascii="Times New Roman" w:hAnsi="Times New Roman" w:cs="Times New Roman" w:hint="default"/>
      <w:sz w:val="22"/>
      <w:szCs w:val="22"/>
    </w:rPr>
  </w:style>
  <w:style w:type="table" w:styleId="a5">
    <w:name w:val="Table Grid"/>
    <w:basedOn w:val="a1"/>
    <w:uiPriority w:val="59"/>
    <w:rsid w:val="00266C3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C3A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docdata">
    <w:name w:val="docdata"/>
    <w:aliases w:val="docy,v5,1262,baiaagaaboqcaaadjamaaauyawaaaaaaaaaaaaaaaaaaaaaaaaaaaaaaaaaaaaaaaaaaaaaaaaaaaaaaaaaaaaaaaaaaaaaaaaaaaaaaaaaaaaaaaaaaaaaaaaaaaaaaaaaaaaaaaaaaaaaaaaaaaaaaaaaaaaaaaaaaaaaaaaaaaaaaaaaaaaaaaaaaaaaaaaaaaaaaaaaaaaaaaaaaaaaaaaaaaaaaaaaaaaaa"/>
    <w:basedOn w:val="a0"/>
    <w:rsid w:val="003349F4"/>
  </w:style>
  <w:style w:type="paragraph" w:styleId="a6">
    <w:name w:val="No Spacing"/>
    <w:uiPriority w:val="1"/>
    <w:qFormat/>
    <w:rsid w:val="00024019"/>
    <w:pPr>
      <w:spacing w:after="0" w:line="240" w:lineRule="auto"/>
    </w:pPr>
  </w:style>
  <w:style w:type="paragraph" w:styleId="a7">
    <w:name w:val="Balloon Text"/>
    <w:basedOn w:val="a"/>
    <w:link w:val="a8"/>
    <w:uiPriority w:val="99"/>
    <w:semiHidden/>
    <w:unhideWhenUsed/>
    <w:rsid w:val="00E558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5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34">
      <w:bodyDiv w:val="1"/>
      <w:marLeft w:val="0"/>
      <w:marRight w:val="0"/>
      <w:marTop w:val="0"/>
      <w:marBottom w:val="0"/>
      <w:divBdr>
        <w:top w:val="none" w:sz="0" w:space="0" w:color="auto"/>
        <w:left w:val="none" w:sz="0" w:space="0" w:color="auto"/>
        <w:bottom w:val="none" w:sz="0" w:space="0" w:color="auto"/>
        <w:right w:val="none" w:sz="0" w:space="0" w:color="auto"/>
      </w:divBdr>
    </w:div>
    <w:div w:id="56127162">
      <w:bodyDiv w:val="1"/>
      <w:marLeft w:val="0"/>
      <w:marRight w:val="0"/>
      <w:marTop w:val="0"/>
      <w:marBottom w:val="0"/>
      <w:divBdr>
        <w:top w:val="none" w:sz="0" w:space="0" w:color="auto"/>
        <w:left w:val="none" w:sz="0" w:space="0" w:color="auto"/>
        <w:bottom w:val="none" w:sz="0" w:space="0" w:color="auto"/>
        <w:right w:val="none" w:sz="0" w:space="0" w:color="auto"/>
      </w:divBdr>
    </w:div>
    <w:div w:id="188876292">
      <w:bodyDiv w:val="1"/>
      <w:marLeft w:val="0"/>
      <w:marRight w:val="0"/>
      <w:marTop w:val="0"/>
      <w:marBottom w:val="0"/>
      <w:divBdr>
        <w:top w:val="none" w:sz="0" w:space="0" w:color="auto"/>
        <w:left w:val="none" w:sz="0" w:space="0" w:color="auto"/>
        <w:bottom w:val="none" w:sz="0" w:space="0" w:color="auto"/>
        <w:right w:val="none" w:sz="0" w:space="0" w:color="auto"/>
      </w:divBdr>
    </w:div>
    <w:div w:id="212930724">
      <w:bodyDiv w:val="1"/>
      <w:marLeft w:val="0"/>
      <w:marRight w:val="0"/>
      <w:marTop w:val="0"/>
      <w:marBottom w:val="0"/>
      <w:divBdr>
        <w:top w:val="none" w:sz="0" w:space="0" w:color="auto"/>
        <w:left w:val="none" w:sz="0" w:space="0" w:color="auto"/>
        <w:bottom w:val="none" w:sz="0" w:space="0" w:color="auto"/>
        <w:right w:val="none" w:sz="0" w:space="0" w:color="auto"/>
      </w:divBdr>
    </w:div>
    <w:div w:id="328560682">
      <w:bodyDiv w:val="1"/>
      <w:marLeft w:val="0"/>
      <w:marRight w:val="0"/>
      <w:marTop w:val="0"/>
      <w:marBottom w:val="0"/>
      <w:divBdr>
        <w:top w:val="none" w:sz="0" w:space="0" w:color="auto"/>
        <w:left w:val="none" w:sz="0" w:space="0" w:color="auto"/>
        <w:bottom w:val="none" w:sz="0" w:space="0" w:color="auto"/>
        <w:right w:val="none" w:sz="0" w:space="0" w:color="auto"/>
      </w:divBdr>
    </w:div>
    <w:div w:id="694161445">
      <w:bodyDiv w:val="1"/>
      <w:marLeft w:val="0"/>
      <w:marRight w:val="0"/>
      <w:marTop w:val="0"/>
      <w:marBottom w:val="0"/>
      <w:divBdr>
        <w:top w:val="none" w:sz="0" w:space="0" w:color="auto"/>
        <w:left w:val="none" w:sz="0" w:space="0" w:color="auto"/>
        <w:bottom w:val="none" w:sz="0" w:space="0" w:color="auto"/>
        <w:right w:val="none" w:sz="0" w:space="0" w:color="auto"/>
      </w:divBdr>
    </w:div>
    <w:div w:id="764885719">
      <w:bodyDiv w:val="1"/>
      <w:marLeft w:val="0"/>
      <w:marRight w:val="0"/>
      <w:marTop w:val="0"/>
      <w:marBottom w:val="0"/>
      <w:divBdr>
        <w:top w:val="none" w:sz="0" w:space="0" w:color="auto"/>
        <w:left w:val="none" w:sz="0" w:space="0" w:color="auto"/>
        <w:bottom w:val="none" w:sz="0" w:space="0" w:color="auto"/>
        <w:right w:val="none" w:sz="0" w:space="0" w:color="auto"/>
      </w:divBdr>
    </w:div>
    <w:div w:id="809175034">
      <w:bodyDiv w:val="1"/>
      <w:marLeft w:val="0"/>
      <w:marRight w:val="0"/>
      <w:marTop w:val="0"/>
      <w:marBottom w:val="0"/>
      <w:divBdr>
        <w:top w:val="none" w:sz="0" w:space="0" w:color="auto"/>
        <w:left w:val="none" w:sz="0" w:space="0" w:color="auto"/>
        <w:bottom w:val="none" w:sz="0" w:space="0" w:color="auto"/>
        <w:right w:val="none" w:sz="0" w:space="0" w:color="auto"/>
      </w:divBdr>
    </w:div>
    <w:div w:id="926502842">
      <w:bodyDiv w:val="1"/>
      <w:marLeft w:val="0"/>
      <w:marRight w:val="0"/>
      <w:marTop w:val="0"/>
      <w:marBottom w:val="0"/>
      <w:divBdr>
        <w:top w:val="none" w:sz="0" w:space="0" w:color="auto"/>
        <w:left w:val="none" w:sz="0" w:space="0" w:color="auto"/>
        <w:bottom w:val="none" w:sz="0" w:space="0" w:color="auto"/>
        <w:right w:val="none" w:sz="0" w:space="0" w:color="auto"/>
      </w:divBdr>
    </w:div>
    <w:div w:id="958534541">
      <w:bodyDiv w:val="1"/>
      <w:marLeft w:val="0"/>
      <w:marRight w:val="0"/>
      <w:marTop w:val="0"/>
      <w:marBottom w:val="0"/>
      <w:divBdr>
        <w:top w:val="none" w:sz="0" w:space="0" w:color="auto"/>
        <w:left w:val="none" w:sz="0" w:space="0" w:color="auto"/>
        <w:bottom w:val="none" w:sz="0" w:space="0" w:color="auto"/>
        <w:right w:val="none" w:sz="0" w:space="0" w:color="auto"/>
      </w:divBdr>
    </w:div>
    <w:div w:id="1306810308">
      <w:bodyDiv w:val="1"/>
      <w:marLeft w:val="0"/>
      <w:marRight w:val="0"/>
      <w:marTop w:val="0"/>
      <w:marBottom w:val="0"/>
      <w:divBdr>
        <w:top w:val="none" w:sz="0" w:space="0" w:color="auto"/>
        <w:left w:val="none" w:sz="0" w:space="0" w:color="auto"/>
        <w:bottom w:val="none" w:sz="0" w:space="0" w:color="auto"/>
        <w:right w:val="none" w:sz="0" w:space="0" w:color="auto"/>
      </w:divBdr>
    </w:div>
    <w:div w:id="1448548594">
      <w:bodyDiv w:val="1"/>
      <w:marLeft w:val="0"/>
      <w:marRight w:val="0"/>
      <w:marTop w:val="0"/>
      <w:marBottom w:val="0"/>
      <w:divBdr>
        <w:top w:val="none" w:sz="0" w:space="0" w:color="auto"/>
        <w:left w:val="none" w:sz="0" w:space="0" w:color="auto"/>
        <w:bottom w:val="none" w:sz="0" w:space="0" w:color="auto"/>
        <w:right w:val="none" w:sz="0" w:space="0" w:color="auto"/>
      </w:divBdr>
    </w:div>
    <w:div w:id="1757628015">
      <w:bodyDiv w:val="1"/>
      <w:marLeft w:val="0"/>
      <w:marRight w:val="0"/>
      <w:marTop w:val="0"/>
      <w:marBottom w:val="0"/>
      <w:divBdr>
        <w:top w:val="none" w:sz="0" w:space="0" w:color="auto"/>
        <w:left w:val="none" w:sz="0" w:space="0" w:color="auto"/>
        <w:bottom w:val="none" w:sz="0" w:space="0" w:color="auto"/>
        <w:right w:val="none" w:sz="0" w:space="0" w:color="auto"/>
      </w:divBdr>
    </w:div>
    <w:div w:id="1840459599">
      <w:bodyDiv w:val="1"/>
      <w:marLeft w:val="0"/>
      <w:marRight w:val="0"/>
      <w:marTop w:val="0"/>
      <w:marBottom w:val="0"/>
      <w:divBdr>
        <w:top w:val="none" w:sz="0" w:space="0" w:color="auto"/>
        <w:left w:val="none" w:sz="0" w:space="0" w:color="auto"/>
        <w:bottom w:val="none" w:sz="0" w:space="0" w:color="auto"/>
        <w:right w:val="none" w:sz="0" w:space="0" w:color="auto"/>
      </w:divBdr>
    </w:div>
    <w:div w:id="1936278843">
      <w:bodyDiv w:val="1"/>
      <w:marLeft w:val="0"/>
      <w:marRight w:val="0"/>
      <w:marTop w:val="0"/>
      <w:marBottom w:val="0"/>
      <w:divBdr>
        <w:top w:val="none" w:sz="0" w:space="0" w:color="auto"/>
        <w:left w:val="none" w:sz="0" w:space="0" w:color="auto"/>
        <w:bottom w:val="none" w:sz="0" w:space="0" w:color="auto"/>
        <w:right w:val="none" w:sz="0" w:space="0" w:color="auto"/>
      </w:divBdr>
      <w:divsChild>
        <w:div w:id="912737338">
          <w:marLeft w:val="0"/>
          <w:marRight w:val="0"/>
          <w:marTop w:val="0"/>
          <w:marBottom w:val="0"/>
          <w:divBdr>
            <w:top w:val="none" w:sz="0" w:space="0" w:color="auto"/>
            <w:left w:val="none" w:sz="0" w:space="0" w:color="auto"/>
            <w:bottom w:val="none" w:sz="0" w:space="0" w:color="auto"/>
            <w:right w:val="none" w:sz="0" w:space="0" w:color="auto"/>
          </w:divBdr>
        </w:div>
        <w:div w:id="273178353">
          <w:marLeft w:val="0"/>
          <w:marRight w:val="0"/>
          <w:marTop w:val="0"/>
          <w:marBottom w:val="0"/>
          <w:divBdr>
            <w:top w:val="none" w:sz="0" w:space="0" w:color="auto"/>
            <w:left w:val="none" w:sz="0" w:space="0" w:color="auto"/>
            <w:bottom w:val="none" w:sz="0" w:space="0" w:color="auto"/>
            <w:right w:val="none" w:sz="0" w:space="0" w:color="auto"/>
          </w:divBdr>
        </w:div>
      </w:divsChild>
    </w:div>
    <w:div w:id="1999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CFCE-E5F1-4F36-812A-4BEBB90F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2083</Words>
  <Characters>11875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AlexSoft</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Махотка Оксана Максимовна</cp:lastModifiedBy>
  <cp:revision>18</cp:revision>
  <cp:lastPrinted>2021-04-09T05:05:00Z</cp:lastPrinted>
  <dcterms:created xsi:type="dcterms:W3CDTF">2020-06-04T09:32:00Z</dcterms:created>
  <dcterms:modified xsi:type="dcterms:W3CDTF">2021-09-20T05:50:00Z</dcterms:modified>
</cp:coreProperties>
</file>